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1519E" w14:textId="50F247D8" w:rsidR="0012370B" w:rsidRPr="006663E2" w:rsidRDefault="0012370B" w:rsidP="00EF0113">
      <w:pPr>
        <w:jc w:val="right"/>
        <w:rPr>
          <w:rFonts w:ascii="Times" w:hAnsi="Times" w:cs="Helvetica"/>
          <w:b/>
          <w:bCs/>
          <w:caps/>
          <w:lang w:val="en-GB"/>
        </w:rPr>
      </w:pPr>
      <w:r w:rsidRPr="006663E2">
        <w:rPr>
          <w:rFonts w:ascii="Times" w:hAnsi="Times" w:cs="Helvetica"/>
          <w:b/>
          <w:bCs/>
          <w:caps/>
          <w:lang w:val="en-GB"/>
        </w:rPr>
        <w:t>Draft</w:t>
      </w:r>
    </w:p>
    <w:p w14:paraId="7079FED2" w14:textId="57550DCC" w:rsidR="0087528A" w:rsidRPr="006663E2" w:rsidRDefault="0087528A" w:rsidP="00C540E2">
      <w:pPr>
        <w:spacing w:after="120" w:line="240" w:lineRule="auto"/>
        <w:jc w:val="center"/>
        <w:rPr>
          <w:rFonts w:ascii="Times New Roman" w:hAnsi="Times New Roman" w:cs="Times New Roman"/>
          <w:b/>
          <w:bCs/>
          <w:sz w:val="24"/>
          <w:szCs w:val="24"/>
          <w:lang w:val="en-GB"/>
        </w:rPr>
      </w:pPr>
      <w:r w:rsidRPr="006663E2">
        <w:rPr>
          <w:rFonts w:ascii="Times New Roman" w:hAnsi="Times New Roman" w:cs="Times New Roman"/>
          <w:b/>
          <w:bCs/>
          <w:sz w:val="24"/>
          <w:szCs w:val="24"/>
          <w:lang w:val="en-GB"/>
        </w:rPr>
        <w:t>GUIDELINES FOR THE APPLICANTS</w:t>
      </w:r>
      <w:r w:rsidR="00B6310B" w:rsidRPr="006663E2">
        <w:rPr>
          <w:rFonts w:ascii="Times New Roman" w:hAnsi="Times New Roman" w:cs="Times New Roman"/>
          <w:b/>
          <w:bCs/>
          <w:sz w:val="24"/>
          <w:szCs w:val="24"/>
          <w:lang w:val="en-GB"/>
        </w:rPr>
        <w:t xml:space="preserve"> </w:t>
      </w:r>
      <w:r w:rsidRPr="006663E2">
        <w:rPr>
          <w:rFonts w:ascii="Times New Roman" w:hAnsi="Times New Roman" w:cs="Times New Roman"/>
          <w:b/>
          <w:bCs/>
          <w:sz w:val="24"/>
          <w:szCs w:val="24"/>
          <w:lang w:val="en-GB"/>
        </w:rPr>
        <w:t>OF THE CALL</w:t>
      </w:r>
    </w:p>
    <w:p w14:paraId="13319F40" w14:textId="48F44147" w:rsidR="0087528A" w:rsidRPr="006663E2" w:rsidRDefault="0087528A" w:rsidP="00C540E2">
      <w:pPr>
        <w:spacing w:after="120" w:line="240" w:lineRule="auto"/>
        <w:jc w:val="center"/>
        <w:rPr>
          <w:rFonts w:ascii="Times New Roman" w:hAnsi="Times New Roman" w:cs="Times New Roman"/>
          <w:b/>
          <w:bCs/>
          <w:sz w:val="24"/>
          <w:szCs w:val="24"/>
          <w:lang w:val="en-GB"/>
        </w:rPr>
      </w:pPr>
      <w:r w:rsidRPr="110854C7">
        <w:rPr>
          <w:rFonts w:ascii="Times New Roman" w:hAnsi="Times New Roman" w:cs="Times New Roman"/>
          <w:b/>
          <w:bCs/>
          <w:sz w:val="24"/>
          <w:szCs w:val="24"/>
          <w:lang w:val="en-GB"/>
        </w:rPr>
        <w:t>“</w:t>
      </w:r>
      <w:r w:rsidR="00FC0F21" w:rsidRPr="110854C7">
        <w:rPr>
          <w:rFonts w:ascii="Times New Roman" w:hAnsi="Times New Roman" w:cs="Times New Roman"/>
          <w:b/>
          <w:bCs/>
          <w:sz w:val="24"/>
          <w:szCs w:val="24"/>
          <w:lang w:val="en-GB"/>
        </w:rPr>
        <w:t xml:space="preserve"> MECHANISMS OF SOCIAL INCLUSION STRENGTHENING FOR CHILDREN AND YOUNG PEOPLE WITH HIGH-RISK BEHAVIO</w:t>
      </w:r>
      <w:r w:rsidR="4A837996" w:rsidRPr="110854C7">
        <w:rPr>
          <w:rFonts w:ascii="Times New Roman" w:hAnsi="Times New Roman" w:cs="Times New Roman"/>
          <w:b/>
          <w:bCs/>
          <w:sz w:val="24"/>
          <w:szCs w:val="24"/>
          <w:lang w:val="en-GB"/>
        </w:rPr>
        <w:t>U</w:t>
      </w:r>
      <w:r w:rsidR="00FC0F21" w:rsidRPr="110854C7">
        <w:rPr>
          <w:rFonts w:ascii="Times New Roman" w:hAnsi="Times New Roman" w:cs="Times New Roman"/>
          <w:b/>
          <w:bCs/>
          <w:sz w:val="24"/>
          <w:szCs w:val="24"/>
          <w:lang w:val="en-GB"/>
        </w:rPr>
        <w:t xml:space="preserve">RS AND / OR FROM DISADVANTAGED BACKGROUNDS </w:t>
      </w:r>
      <w:r w:rsidRPr="110854C7">
        <w:rPr>
          <w:rFonts w:ascii="Times New Roman" w:hAnsi="Times New Roman" w:cs="Times New Roman"/>
          <w:b/>
          <w:bCs/>
          <w:sz w:val="24"/>
          <w:szCs w:val="24"/>
          <w:lang w:val="en-GB"/>
        </w:rPr>
        <w:t>“</w:t>
      </w:r>
    </w:p>
    <w:p w14:paraId="21AF9D02" w14:textId="71B70F85" w:rsidR="0087528A" w:rsidRPr="006663E2" w:rsidRDefault="0087528A" w:rsidP="00C540E2">
      <w:pPr>
        <w:spacing w:after="120" w:line="240" w:lineRule="auto"/>
        <w:jc w:val="center"/>
        <w:rPr>
          <w:rFonts w:ascii="Times New Roman" w:hAnsi="Times New Roman" w:cs="Times New Roman"/>
          <w:b/>
          <w:bCs/>
          <w:caps/>
          <w:sz w:val="24"/>
          <w:szCs w:val="24"/>
          <w:lang w:val="en-GB"/>
        </w:rPr>
      </w:pPr>
      <w:r w:rsidRPr="006663E2">
        <w:rPr>
          <w:rFonts w:ascii="Times New Roman" w:hAnsi="Times New Roman" w:cs="Times New Roman"/>
          <w:b/>
          <w:bCs/>
          <w:sz w:val="24"/>
          <w:szCs w:val="24"/>
          <w:lang w:val="en-GB"/>
        </w:rPr>
        <w:t>UNDER THE PROGRAMME “HEALTH“ OF THE EUROPEAN ECONOMIC AREA FINANCIAL MECHANISM 2014-2021</w:t>
      </w:r>
    </w:p>
    <w:p w14:paraId="2911DC82" w14:textId="5857C517" w:rsidR="00A1114C" w:rsidRPr="006663E2" w:rsidRDefault="006F13C3" w:rsidP="00C540E2">
      <w:pPr>
        <w:pStyle w:val="ListParagraph"/>
        <w:numPr>
          <w:ilvl w:val="0"/>
          <w:numId w:val="1"/>
        </w:numPr>
        <w:tabs>
          <w:tab w:val="left" w:pos="3686"/>
        </w:tabs>
        <w:spacing w:after="120" w:line="240" w:lineRule="auto"/>
        <w:jc w:val="center"/>
        <w:rPr>
          <w:rFonts w:ascii="Times New Roman" w:hAnsi="Times New Roman" w:cs="Times New Roman"/>
          <w:b/>
          <w:bCs/>
          <w:caps/>
          <w:sz w:val="24"/>
          <w:szCs w:val="24"/>
          <w:lang w:val="en-GB"/>
        </w:rPr>
      </w:pPr>
      <w:r w:rsidRPr="006663E2">
        <w:rPr>
          <w:rFonts w:ascii="Times New Roman" w:hAnsi="Times New Roman" w:cs="Times New Roman"/>
          <w:b/>
          <w:bCs/>
          <w:caps/>
          <w:sz w:val="24"/>
          <w:szCs w:val="24"/>
          <w:lang w:val="en-GB"/>
        </w:rPr>
        <w:t>G</w:t>
      </w:r>
      <w:r w:rsidR="00B13F98" w:rsidRPr="006663E2">
        <w:rPr>
          <w:rFonts w:ascii="Times New Roman" w:hAnsi="Times New Roman" w:cs="Times New Roman"/>
          <w:b/>
          <w:bCs/>
          <w:caps/>
          <w:sz w:val="24"/>
          <w:szCs w:val="24"/>
          <w:lang w:val="en-GB"/>
        </w:rPr>
        <w:t>e</w:t>
      </w:r>
      <w:r w:rsidRPr="006663E2">
        <w:rPr>
          <w:rFonts w:ascii="Times New Roman" w:hAnsi="Times New Roman" w:cs="Times New Roman"/>
          <w:b/>
          <w:bCs/>
          <w:caps/>
          <w:sz w:val="24"/>
          <w:szCs w:val="24"/>
          <w:lang w:val="en-GB"/>
        </w:rPr>
        <w:t>neral provisions</w:t>
      </w:r>
    </w:p>
    <w:p w14:paraId="06416221" w14:textId="77777777" w:rsidR="005E6844" w:rsidRPr="006663E2" w:rsidRDefault="005E6844" w:rsidP="00C540E2">
      <w:pPr>
        <w:pStyle w:val="ListParagraph"/>
        <w:spacing w:after="120" w:line="240" w:lineRule="auto"/>
        <w:ind w:left="1080"/>
        <w:rPr>
          <w:rFonts w:ascii="Times New Roman" w:hAnsi="Times New Roman" w:cs="Times New Roman"/>
          <w:b/>
          <w:bCs/>
          <w:sz w:val="24"/>
          <w:szCs w:val="24"/>
          <w:lang w:val="en-GB"/>
        </w:rPr>
      </w:pPr>
    </w:p>
    <w:p w14:paraId="52BADAE8" w14:textId="2109CAE4" w:rsidR="003F61EA" w:rsidRPr="006663E2" w:rsidRDefault="00C36917" w:rsidP="00FC0F21">
      <w:pPr>
        <w:pStyle w:val="ListParagraph"/>
        <w:numPr>
          <w:ilvl w:val="0"/>
          <w:numId w:val="3"/>
        </w:numPr>
        <w:spacing w:after="120" w:line="240" w:lineRule="auto"/>
        <w:jc w:val="both"/>
        <w:rPr>
          <w:rFonts w:ascii="Times New Roman" w:hAnsi="Times New Roman" w:cs="Times New Roman"/>
          <w:sz w:val="24"/>
          <w:szCs w:val="24"/>
          <w:lang w:val="en-GB" w:eastAsia="lt-LT"/>
        </w:rPr>
      </w:pPr>
      <w:r w:rsidRPr="110854C7">
        <w:rPr>
          <w:rFonts w:ascii="Times New Roman" w:hAnsi="Times New Roman" w:cs="Times New Roman"/>
          <w:sz w:val="24"/>
          <w:szCs w:val="24"/>
          <w:lang w:val="en-GB" w:eastAsia="lt-LT"/>
        </w:rPr>
        <w:t>The Guidelines for Applicants of the open call “</w:t>
      </w:r>
      <w:r w:rsidR="00FC0F21" w:rsidRPr="110854C7">
        <w:rPr>
          <w:rFonts w:ascii="Times New Roman" w:hAnsi="Times New Roman" w:cs="Times New Roman"/>
          <w:sz w:val="24"/>
          <w:szCs w:val="24"/>
          <w:lang w:val="en-GB" w:eastAsia="lt-LT"/>
        </w:rPr>
        <w:t>Mechanisms of social inclusion strengthening for children and young people with high-risk behavio</w:t>
      </w:r>
      <w:r w:rsidR="7E699B79" w:rsidRPr="110854C7">
        <w:rPr>
          <w:rFonts w:ascii="Times New Roman" w:hAnsi="Times New Roman" w:cs="Times New Roman"/>
          <w:sz w:val="24"/>
          <w:szCs w:val="24"/>
          <w:lang w:val="en-GB" w:eastAsia="lt-LT"/>
        </w:rPr>
        <w:t>u</w:t>
      </w:r>
      <w:r w:rsidR="00FC0F21" w:rsidRPr="110854C7">
        <w:rPr>
          <w:rFonts w:ascii="Times New Roman" w:hAnsi="Times New Roman" w:cs="Times New Roman"/>
          <w:sz w:val="24"/>
          <w:szCs w:val="24"/>
          <w:lang w:val="en-GB" w:eastAsia="lt-LT"/>
        </w:rPr>
        <w:t>rs and / or from disadvantaged backgrounds</w:t>
      </w:r>
      <w:r w:rsidR="00E908F0" w:rsidRPr="110854C7">
        <w:rPr>
          <w:rFonts w:ascii="Times New Roman" w:hAnsi="Times New Roman" w:cs="Times New Roman"/>
          <w:b/>
          <w:bCs/>
          <w:sz w:val="24"/>
          <w:szCs w:val="24"/>
          <w:lang w:val="en-GB"/>
        </w:rPr>
        <w:t>”</w:t>
      </w:r>
      <w:r w:rsidR="00CA352C" w:rsidRPr="110854C7">
        <w:rPr>
          <w:rFonts w:ascii="Times New Roman" w:hAnsi="Times New Roman" w:cs="Times New Roman"/>
          <w:b/>
          <w:bCs/>
          <w:sz w:val="24"/>
          <w:szCs w:val="24"/>
          <w:lang w:val="en-GB"/>
        </w:rPr>
        <w:t xml:space="preserve"> (hereinafter – Guidelines)</w:t>
      </w:r>
      <w:r w:rsidRPr="110854C7">
        <w:rPr>
          <w:rFonts w:ascii="Times New Roman" w:hAnsi="Times New Roman" w:cs="Times New Roman"/>
          <w:sz w:val="24"/>
          <w:szCs w:val="24"/>
          <w:lang w:val="en-GB" w:eastAsia="lt-LT"/>
        </w:rPr>
        <w:t xml:space="preserve"> under the EEA financial mechanism programme “</w:t>
      </w:r>
      <w:r w:rsidR="00936041" w:rsidRPr="110854C7">
        <w:rPr>
          <w:rFonts w:ascii="Times New Roman" w:hAnsi="Times New Roman" w:cs="Times New Roman"/>
          <w:sz w:val="24"/>
          <w:szCs w:val="24"/>
          <w:lang w:val="en-GB" w:eastAsia="lt-LT"/>
        </w:rPr>
        <w:t>He</w:t>
      </w:r>
      <w:r w:rsidR="00CA352C" w:rsidRPr="110854C7">
        <w:rPr>
          <w:rFonts w:ascii="Times New Roman" w:hAnsi="Times New Roman" w:cs="Times New Roman"/>
          <w:sz w:val="24"/>
          <w:szCs w:val="24"/>
          <w:lang w:val="en-GB" w:eastAsia="lt-LT"/>
        </w:rPr>
        <w:t>a</w:t>
      </w:r>
      <w:r w:rsidR="00936041" w:rsidRPr="110854C7">
        <w:rPr>
          <w:rFonts w:ascii="Times New Roman" w:hAnsi="Times New Roman" w:cs="Times New Roman"/>
          <w:sz w:val="24"/>
          <w:szCs w:val="24"/>
          <w:lang w:val="en-GB" w:eastAsia="lt-LT"/>
        </w:rPr>
        <w:t>l</w:t>
      </w:r>
      <w:r w:rsidR="00CA352C" w:rsidRPr="110854C7">
        <w:rPr>
          <w:rFonts w:ascii="Times New Roman" w:hAnsi="Times New Roman" w:cs="Times New Roman"/>
          <w:sz w:val="24"/>
          <w:szCs w:val="24"/>
          <w:lang w:val="en-GB" w:eastAsia="lt-LT"/>
        </w:rPr>
        <w:t>th</w:t>
      </w:r>
      <w:r w:rsidRPr="110854C7">
        <w:rPr>
          <w:rFonts w:ascii="Times New Roman" w:hAnsi="Times New Roman" w:cs="Times New Roman"/>
          <w:sz w:val="24"/>
          <w:szCs w:val="24"/>
          <w:lang w:val="en-GB" w:eastAsia="lt-LT"/>
        </w:rPr>
        <w:t>” 2014-2021 lays down the requirements for applicants, which they shall follow in preparing and submitting their applications</w:t>
      </w:r>
      <w:r w:rsidR="003F61EA" w:rsidRPr="110854C7">
        <w:rPr>
          <w:rFonts w:ascii="Times New Roman" w:hAnsi="Times New Roman" w:cs="Times New Roman"/>
          <w:sz w:val="24"/>
          <w:szCs w:val="24"/>
          <w:lang w:val="en-GB" w:eastAsia="lt-LT"/>
        </w:rPr>
        <w:t>.</w:t>
      </w:r>
    </w:p>
    <w:p w14:paraId="3A66A589" w14:textId="1D187E15" w:rsidR="00FE236C" w:rsidRPr="006663E2" w:rsidRDefault="00420DE5" w:rsidP="00420DE5">
      <w:pPr>
        <w:pStyle w:val="ListParagraph"/>
        <w:numPr>
          <w:ilvl w:val="0"/>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sz w:val="24"/>
          <w:szCs w:val="24"/>
          <w:lang w:val="en-GB" w:eastAsia="lt-LT"/>
        </w:rPr>
        <w:t>The requirements set out in the Guidelines are also regulated by:</w:t>
      </w:r>
    </w:p>
    <w:p w14:paraId="06A4884C" w14:textId="153A02EC" w:rsidR="00505B4D" w:rsidRPr="006663E2" w:rsidRDefault="002C35AD"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sz w:val="24"/>
          <w:szCs w:val="24"/>
          <w:lang w:val="en-GB" w:eastAsia="lt-LT"/>
        </w:rPr>
        <w:t xml:space="preserve">Memorandum of Understanding regarding the implementation of EEA </w:t>
      </w:r>
      <w:r w:rsidR="00ED6F56" w:rsidRPr="006663E2">
        <w:rPr>
          <w:rFonts w:ascii="Times New Roman" w:hAnsi="Times New Roman" w:cs="Times New Roman"/>
          <w:sz w:val="24"/>
          <w:szCs w:val="24"/>
          <w:lang w:val="en-GB" w:eastAsia="lt-LT"/>
        </w:rPr>
        <w:t>financial</w:t>
      </w:r>
      <w:r w:rsidRPr="006663E2">
        <w:rPr>
          <w:rFonts w:ascii="Times New Roman" w:hAnsi="Times New Roman" w:cs="Times New Roman"/>
          <w:sz w:val="24"/>
          <w:szCs w:val="24"/>
          <w:lang w:val="en-GB" w:eastAsia="lt-LT"/>
        </w:rPr>
        <w:t xml:space="preserve"> mechanism 2014–2021 of 24 April 2018 </w:t>
      </w:r>
      <w:r w:rsidR="006F13C3" w:rsidRPr="006663E2">
        <w:rPr>
          <w:rFonts w:ascii="Times New Roman" w:hAnsi="Times New Roman" w:cs="Times New Roman"/>
          <w:sz w:val="24"/>
          <w:szCs w:val="24"/>
          <w:lang w:val="en-GB" w:eastAsia="lt-LT"/>
        </w:rPr>
        <w:t>among</w:t>
      </w:r>
      <w:r w:rsidRPr="006663E2">
        <w:rPr>
          <w:rFonts w:ascii="Times New Roman" w:hAnsi="Times New Roman" w:cs="Times New Roman"/>
          <w:sz w:val="24"/>
          <w:szCs w:val="24"/>
          <w:lang w:val="en-GB" w:eastAsia="lt-LT"/>
        </w:rPr>
        <w:t xml:space="preserve"> the Republic of Lithuania and Iceland</w:t>
      </w:r>
      <w:r w:rsidR="00ED6F56" w:rsidRPr="006663E2">
        <w:rPr>
          <w:rFonts w:ascii="Times New Roman" w:hAnsi="Times New Roman" w:cs="Times New Roman"/>
          <w:sz w:val="24"/>
          <w:szCs w:val="24"/>
          <w:lang w:val="en-GB" w:eastAsia="lt-LT"/>
        </w:rPr>
        <w:t>, the Principality of Liechtenstein</w:t>
      </w:r>
      <w:r w:rsidRPr="006663E2">
        <w:rPr>
          <w:rFonts w:ascii="Times New Roman" w:hAnsi="Times New Roman" w:cs="Times New Roman"/>
          <w:sz w:val="24"/>
          <w:szCs w:val="24"/>
          <w:lang w:val="en-GB" w:eastAsia="lt-LT"/>
        </w:rPr>
        <w:t xml:space="preserve"> </w:t>
      </w:r>
      <w:r w:rsidR="00ED6F56" w:rsidRPr="006663E2">
        <w:rPr>
          <w:rFonts w:ascii="Times New Roman" w:hAnsi="Times New Roman" w:cs="Times New Roman"/>
          <w:sz w:val="24"/>
          <w:szCs w:val="24"/>
          <w:lang w:val="en-GB" w:eastAsia="lt-LT"/>
        </w:rPr>
        <w:t>and the Kingdom of Norway (hereinafter – the Memorandum)</w:t>
      </w:r>
      <w:r w:rsidR="00505B4D" w:rsidRPr="006663E2">
        <w:rPr>
          <w:rFonts w:ascii="Times New Roman" w:hAnsi="Times New Roman" w:cs="Times New Roman"/>
          <w:sz w:val="24"/>
          <w:szCs w:val="24"/>
          <w:lang w:val="en-GB" w:eastAsia="lt-LT"/>
        </w:rPr>
        <w:t>;</w:t>
      </w:r>
    </w:p>
    <w:p w14:paraId="6A6C08FB" w14:textId="7616DF40" w:rsidR="00E105C0" w:rsidRPr="006663E2" w:rsidRDefault="00ED6F56"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sz w:val="24"/>
          <w:szCs w:val="24"/>
          <w:lang w:val="en-GB" w:eastAsia="lt-LT"/>
        </w:rPr>
        <w:t xml:space="preserve">Regulation implementing EEA financial mechanism </w:t>
      </w:r>
      <w:r w:rsidRPr="006663E2">
        <w:rPr>
          <w:rFonts w:ascii="Times New Roman" w:hAnsi="Times New Roman" w:cs="Times New Roman"/>
          <w:bCs/>
          <w:sz w:val="24"/>
          <w:szCs w:val="24"/>
          <w:lang w:val="en-GB"/>
        </w:rPr>
        <w:t>2014–2021 (hereinafter – the Regulation) approved by EEA Financial Mechanism Committee on 8 September 2016</w:t>
      </w:r>
      <w:r w:rsidR="00505B4D" w:rsidRPr="006663E2">
        <w:rPr>
          <w:rFonts w:ascii="Times New Roman" w:hAnsi="Times New Roman" w:cs="Times New Roman"/>
          <w:bCs/>
          <w:sz w:val="24"/>
          <w:szCs w:val="24"/>
          <w:lang w:val="en-GB"/>
        </w:rPr>
        <w:t>;</w:t>
      </w:r>
    </w:p>
    <w:p w14:paraId="5028C4C2" w14:textId="08424C54" w:rsidR="00E105C0" w:rsidRPr="006663E2" w:rsidRDefault="00ED6F56"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sz w:val="24"/>
          <w:szCs w:val="24"/>
          <w:lang w:val="en-GB" w:eastAsia="lt-LT"/>
        </w:rPr>
        <w:t xml:space="preserve">Rules of Administration and Financing of EEA and Norwegian Financial Mechanisms </w:t>
      </w:r>
      <w:r w:rsidRPr="006663E2">
        <w:rPr>
          <w:rFonts w:ascii="Times New Roman" w:hAnsi="Times New Roman" w:cs="Times New Roman"/>
          <w:sz w:val="24"/>
          <w:szCs w:val="24"/>
          <w:lang w:val="en-GB"/>
        </w:rPr>
        <w:t xml:space="preserve">2014-2021 </w:t>
      </w:r>
      <w:r w:rsidR="00505B4D" w:rsidRPr="006663E2">
        <w:rPr>
          <w:rFonts w:ascii="Times New Roman" w:hAnsi="Times New Roman" w:cs="Times New Roman"/>
          <w:sz w:val="24"/>
          <w:szCs w:val="24"/>
          <w:lang w:val="en-GB"/>
        </w:rPr>
        <w:t>(</w:t>
      </w:r>
      <w:r w:rsidRPr="006663E2">
        <w:rPr>
          <w:rFonts w:ascii="Times New Roman" w:hAnsi="Times New Roman" w:cs="Times New Roman"/>
          <w:sz w:val="24"/>
          <w:szCs w:val="24"/>
          <w:lang w:val="en-GB"/>
        </w:rPr>
        <w:t>Order No. 1K-</w:t>
      </w:r>
      <w:r w:rsidR="00E105C0" w:rsidRPr="006663E2">
        <w:rPr>
          <w:rFonts w:ascii="Times New Roman" w:hAnsi="Times New Roman" w:cs="Times New Roman"/>
          <w:sz w:val="24"/>
          <w:szCs w:val="24"/>
          <w:lang w:val="en-GB"/>
        </w:rPr>
        <w:t>389</w:t>
      </w:r>
      <w:r w:rsidRPr="006663E2">
        <w:rPr>
          <w:rFonts w:ascii="Times New Roman" w:hAnsi="Times New Roman" w:cs="Times New Roman"/>
          <w:sz w:val="24"/>
          <w:szCs w:val="24"/>
          <w:lang w:val="en-GB"/>
        </w:rPr>
        <w:t xml:space="preserve"> of the Minister of Finance of the </w:t>
      </w:r>
      <w:r w:rsidR="006F13C3" w:rsidRPr="006663E2">
        <w:rPr>
          <w:rFonts w:ascii="Times New Roman" w:hAnsi="Times New Roman" w:cs="Times New Roman"/>
          <w:sz w:val="24"/>
          <w:szCs w:val="24"/>
          <w:lang w:val="en-GB"/>
        </w:rPr>
        <w:t xml:space="preserve">Republic of Lithuania </w:t>
      </w:r>
      <w:r w:rsidRPr="006663E2">
        <w:rPr>
          <w:rFonts w:ascii="Times New Roman" w:hAnsi="Times New Roman" w:cs="Times New Roman"/>
          <w:sz w:val="24"/>
          <w:szCs w:val="24"/>
          <w:lang w:val="en-GB"/>
        </w:rPr>
        <w:t xml:space="preserve">of 12 </w:t>
      </w:r>
      <w:r w:rsidR="00E105C0" w:rsidRPr="006663E2">
        <w:rPr>
          <w:rFonts w:ascii="Times New Roman" w:hAnsi="Times New Roman" w:cs="Times New Roman"/>
          <w:sz w:val="24"/>
          <w:szCs w:val="24"/>
          <w:lang w:val="en-GB"/>
        </w:rPr>
        <w:t xml:space="preserve">November </w:t>
      </w:r>
      <w:r w:rsidR="00505B4D" w:rsidRPr="006663E2">
        <w:rPr>
          <w:rFonts w:ascii="Times New Roman" w:hAnsi="Times New Roman" w:cs="Times New Roman"/>
          <w:sz w:val="24"/>
          <w:szCs w:val="24"/>
          <w:lang w:val="en-GB"/>
        </w:rPr>
        <w:t>201</w:t>
      </w:r>
      <w:r w:rsidR="00E105C0" w:rsidRPr="006663E2">
        <w:rPr>
          <w:rFonts w:ascii="Times New Roman" w:hAnsi="Times New Roman" w:cs="Times New Roman"/>
          <w:sz w:val="24"/>
          <w:szCs w:val="24"/>
          <w:lang w:val="en-GB"/>
        </w:rPr>
        <w:t>8</w:t>
      </w:r>
      <w:r w:rsidR="00505B4D" w:rsidRPr="006663E2">
        <w:rPr>
          <w:rFonts w:ascii="Times New Roman" w:hAnsi="Times New Roman" w:cs="Times New Roman"/>
          <w:sz w:val="24"/>
          <w:szCs w:val="24"/>
          <w:lang w:val="en-GB"/>
        </w:rPr>
        <w:t>);</w:t>
      </w:r>
    </w:p>
    <w:p w14:paraId="3A2AB9F2" w14:textId="54F2D65A" w:rsidR="00E105C0" w:rsidRPr="006663E2" w:rsidRDefault="009F4026"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sz w:val="24"/>
          <w:szCs w:val="24"/>
          <w:lang w:val="en-GB" w:eastAsia="lt-LT"/>
        </w:rPr>
        <w:t>Contract regarding the financing of the EEA financial mechanism programme “</w:t>
      </w:r>
      <w:r w:rsidR="00CA352C" w:rsidRPr="006663E2">
        <w:rPr>
          <w:rFonts w:ascii="Times New Roman" w:hAnsi="Times New Roman" w:cs="Times New Roman"/>
          <w:sz w:val="24"/>
          <w:szCs w:val="24"/>
          <w:lang w:val="en-GB" w:eastAsia="lt-LT"/>
        </w:rPr>
        <w:t>Health</w:t>
      </w:r>
      <w:r w:rsidRPr="006663E2">
        <w:rPr>
          <w:rFonts w:ascii="Times New Roman" w:hAnsi="Times New Roman" w:cs="Times New Roman"/>
          <w:sz w:val="24"/>
          <w:szCs w:val="24"/>
          <w:lang w:val="en-GB" w:eastAsia="lt-LT"/>
        </w:rPr>
        <w:t xml:space="preserve">” 2014-2021 of the Ministry of Finance of the Republic of Lithuania and the EEA Financial </w:t>
      </w:r>
      <w:r w:rsidR="00A24A78" w:rsidRPr="006663E2">
        <w:rPr>
          <w:rFonts w:ascii="Times New Roman" w:hAnsi="Times New Roman" w:cs="Times New Roman"/>
          <w:sz w:val="24"/>
          <w:szCs w:val="24"/>
          <w:lang w:val="en-GB" w:eastAsia="lt-LT"/>
        </w:rPr>
        <w:t xml:space="preserve">Mechanism Committee of </w:t>
      </w:r>
      <w:r w:rsidR="00CA352C" w:rsidRPr="006663E2">
        <w:rPr>
          <w:rFonts w:ascii="Times New Roman" w:hAnsi="Times New Roman" w:cs="Times New Roman"/>
          <w:sz w:val="24"/>
          <w:szCs w:val="24"/>
          <w:lang w:val="en-GB" w:eastAsia="lt-LT"/>
        </w:rPr>
        <w:t>3 September</w:t>
      </w:r>
      <w:r w:rsidR="009A13A0" w:rsidRPr="006663E2">
        <w:rPr>
          <w:rFonts w:ascii="Times New Roman" w:hAnsi="Times New Roman" w:cs="Times New Roman"/>
          <w:sz w:val="24"/>
          <w:szCs w:val="24"/>
          <w:lang w:val="en-GB" w:eastAsia="lt-LT"/>
        </w:rPr>
        <w:t xml:space="preserve"> </w:t>
      </w:r>
      <w:r w:rsidR="00A24A78" w:rsidRPr="006663E2">
        <w:rPr>
          <w:rFonts w:ascii="Times New Roman" w:hAnsi="Times New Roman" w:cs="Times New Roman"/>
          <w:sz w:val="24"/>
          <w:szCs w:val="24"/>
          <w:lang w:val="en-GB" w:eastAsia="lt-LT"/>
        </w:rPr>
        <w:t>2019</w:t>
      </w:r>
      <w:r w:rsidR="00056B2E" w:rsidRPr="006663E2">
        <w:rPr>
          <w:rFonts w:ascii="Times New Roman" w:hAnsi="Times New Roman" w:cs="Times New Roman"/>
          <w:sz w:val="24"/>
          <w:szCs w:val="24"/>
          <w:lang w:val="en-GB" w:eastAsia="lt-LT"/>
        </w:rPr>
        <w:t>;</w:t>
      </w:r>
    </w:p>
    <w:p w14:paraId="7203B9BF" w14:textId="62832B63" w:rsidR="00E105C0" w:rsidRPr="006663E2" w:rsidRDefault="000660C7" w:rsidP="00C540E2">
      <w:pPr>
        <w:pStyle w:val="ListParagraph"/>
        <w:numPr>
          <w:ilvl w:val="0"/>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sz w:val="24"/>
          <w:szCs w:val="24"/>
          <w:lang w:val="en-GB" w:eastAsia="lt-LT"/>
        </w:rPr>
        <w:t>T</w:t>
      </w:r>
      <w:r w:rsidR="00F1783E" w:rsidRPr="006663E2">
        <w:rPr>
          <w:rFonts w:ascii="Times New Roman" w:hAnsi="Times New Roman" w:cs="Times New Roman"/>
          <w:sz w:val="24"/>
          <w:szCs w:val="24"/>
          <w:lang w:val="en-GB" w:eastAsia="lt-LT"/>
        </w:rPr>
        <w:t xml:space="preserve">erms </w:t>
      </w:r>
      <w:r w:rsidR="00784027" w:rsidRPr="006663E2">
        <w:rPr>
          <w:rFonts w:ascii="Times New Roman" w:hAnsi="Times New Roman" w:cs="Times New Roman"/>
          <w:sz w:val="24"/>
          <w:szCs w:val="24"/>
          <w:lang w:val="en-GB" w:eastAsia="lt-LT"/>
        </w:rPr>
        <w:t xml:space="preserve">and abbreviations </w:t>
      </w:r>
      <w:r w:rsidR="00F1783E" w:rsidRPr="006663E2">
        <w:rPr>
          <w:rFonts w:ascii="Times New Roman" w:hAnsi="Times New Roman" w:cs="Times New Roman"/>
          <w:sz w:val="24"/>
          <w:szCs w:val="24"/>
          <w:lang w:val="en-GB" w:eastAsia="lt-LT"/>
        </w:rPr>
        <w:t>used in the Guidelines</w:t>
      </w:r>
      <w:r w:rsidR="00056B2E" w:rsidRPr="006663E2">
        <w:rPr>
          <w:rFonts w:ascii="Times New Roman" w:hAnsi="Times New Roman" w:cs="Times New Roman"/>
          <w:sz w:val="24"/>
          <w:szCs w:val="24"/>
          <w:lang w:val="en-GB" w:eastAsia="lt-LT"/>
        </w:rPr>
        <w:t>:</w:t>
      </w:r>
    </w:p>
    <w:p w14:paraId="5D0897BF" w14:textId="670828F6" w:rsidR="00E105C0" w:rsidRPr="006663E2" w:rsidRDefault="00B05552"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b/>
          <w:sz w:val="24"/>
          <w:szCs w:val="24"/>
          <w:lang w:val="en-GB" w:eastAsia="lt-LT"/>
        </w:rPr>
        <w:t xml:space="preserve">Co-financing </w:t>
      </w:r>
      <w:r w:rsidR="0003089B" w:rsidRPr="006663E2">
        <w:rPr>
          <w:rFonts w:ascii="Times New Roman" w:hAnsi="Times New Roman" w:cs="Times New Roman"/>
          <w:b/>
          <w:sz w:val="24"/>
          <w:szCs w:val="24"/>
          <w:lang w:val="en-GB" w:eastAsia="lt-LT"/>
        </w:rPr>
        <w:t>F</w:t>
      </w:r>
      <w:r w:rsidRPr="006663E2">
        <w:rPr>
          <w:rFonts w:ascii="Times New Roman" w:hAnsi="Times New Roman" w:cs="Times New Roman"/>
          <w:b/>
          <w:sz w:val="24"/>
          <w:szCs w:val="24"/>
          <w:lang w:val="en-GB" w:eastAsia="lt-LT"/>
        </w:rPr>
        <w:t>unds</w:t>
      </w:r>
      <w:r w:rsidR="00114FF4" w:rsidRPr="006663E2">
        <w:rPr>
          <w:rFonts w:ascii="Times New Roman" w:hAnsi="Times New Roman" w:cs="Times New Roman"/>
          <w:sz w:val="24"/>
          <w:szCs w:val="24"/>
          <w:lang w:val="en-GB" w:eastAsia="lt-LT"/>
        </w:rPr>
        <w:t xml:space="preserve"> </w:t>
      </w:r>
      <w:r w:rsidRPr="006663E2">
        <w:rPr>
          <w:rFonts w:ascii="Times New Roman" w:hAnsi="Times New Roman" w:cs="Times New Roman"/>
          <w:sz w:val="24"/>
          <w:szCs w:val="24"/>
          <w:lang w:val="en-GB" w:eastAsia="lt-LT"/>
        </w:rPr>
        <w:t>–</w:t>
      </w:r>
      <w:r w:rsidR="00114FF4" w:rsidRPr="006663E2">
        <w:rPr>
          <w:rFonts w:ascii="Times New Roman" w:hAnsi="Times New Roman" w:cs="Times New Roman"/>
          <w:sz w:val="24"/>
          <w:szCs w:val="24"/>
          <w:lang w:val="en-GB" w:eastAsia="lt-LT"/>
        </w:rPr>
        <w:t xml:space="preserve"> </w:t>
      </w:r>
      <w:r w:rsidRPr="006663E2">
        <w:rPr>
          <w:rFonts w:ascii="Times New Roman" w:hAnsi="Times New Roman" w:cs="Times New Roman"/>
          <w:sz w:val="24"/>
          <w:szCs w:val="24"/>
          <w:lang w:val="en-GB" w:eastAsia="lt-LT"/>
        </w:rPr>
        <w:t>funds of the state budget of the Republic of Lithuania</w:t>
      </w:r>
      <w:r w:rsidR="00114FF4" w:rsidRPr="006663E2">
        <w:rPr>
          <w:rFonts w:ascii="Times New Roman" w:hAnsi="Times New Roman" w:cs="Times New Roman"/>
          <w:sz w:val="24"/>
          <w:szCs w:val="24"/>
          <w:lang w:val="en-GB" w:eastAsia="lt-LT"/>
        </w:rPr>
        <w:t xml:space="preserve"> </w:t>
      </w:r>
      <w:r w:rsidRPr="006663E2">
        <w:rPr>
          <w:rFonts w:ascii="Times New Roman" w:hAnsi="Times New Roman" w:cs="Times New Roman"/>
          <w:sz w:val="24"/>
          <w:szCs w:val="24"/>
          <w:lang w:val="en-GB" w:eastAsia="lt-LT"/>
        </w:rPr>
        <w:t xml:space="preserve">for financing programmes implemented from EEA and </w:t>
      </w:r>
      <w:r w:rsidR="00784027" w:rsidRPr="006663E2">
        <w:rPr>
          <w:rFonts w:ascii="Times New Roman" w:hAnsi="Times New Roman" w:cs="Times New Roman"/>
          <w:sz w:val="24"/>
          <w:szCs w:val="24"/>
          <w:lang w:val="en-GB" w:eastAsia="lt-LT"/>
        </w:rPr>
        <w:t xml:space="preserve">(or) </w:t>
      </w:r>
      <w:r w:rsidRPr="006663E2">
        <w:rPr>
          <w:rFonts w:ascii="Times New Roman" w:hAnsi="Times New Roman" w:cs="Times New Roman"/>
          <w:sz w:val="24"/>
          <w:szCs w:val="24"/>
          <w:lang w:val="en-GB" w:eastAsia="lt-LT"/>
        </w:rPr>
        <w:t>Norwegian financial mechanism</w:t>
      </w:r>
      <w:r w:rsidR="00784027" w:rsidRPr="006663E2">
        <w:rPr>
          <w:rFonts w:ascii="Times New Roman" w:hAnsi="Times New Roman" w:cs="Times New Roman"/>
          <w:sz w:val="24"/>
          <w:szCs w:val="24"/>
          <w:lang w:val="en-GB" w:eastAsia="lt-LT"/>
        </w:rPr>
        <w:t xml:space="preserve"> </w:t>
      </w:r>
      <w:r w:rsidRPr="006663E2">
        <w:rPr>
          <w:rFonts w:ascii="Times New Roman" w:hAnsi="Times New Roman" w:cs="Times New Roman"/>
          <w:sz w:val="24"/>
          <w:szCs w:val="24"/>
          <w:lang w:val="en-GB" w:eastAsia="lt-LT"/>
        </w:rPr>
        <w:t>funds</w:t>
      </w:r>
      <w:r w:rsidR="000A2964" w:rsidRPr="006663E2">
        <w:rPr>
          <w:rFonts w:ascii="Times New Roman" w:hAnsi="Times New Roman" w:cs="Times New Roman"/>
          <w:sz w:val="24"/>
          <w:szCs w:val="24"/>
          <w:lang w:val="en-GB" w:eastAsia="lt-LT"/>
        </w:rPr>
        <w:t>.</w:t>
      </w:r>
    </w:p>
    <w:p w14:paraId="20434DB5" w14:textId="0FD1E8AD" w:rsidR="001C4BA6" w:rsidRPr="006663E2" w:rsidRDefault="00F1783E"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b/>
          <w:bCs/>
          <w:sz w:val="24"/>
          <w:szCs w:val="24"/>
          <w:lang w:val="en-GB" w:eastAsia="lt-LT"/>
        </w:rPr>
        <w:t>CPMA</w:t>
      </w:r>
      <w:r w:rsidR="00FB452A" w:rsidRPr="006663E2">
        <w:rPr>
          <w:rFonts w:ascii="Times New Roman" w:hAnsi="Times New Roman" w:cs="Times New Roman"/>
          <w:sz w:val="24"/>
          <w:szCs w:val="24"/>
          <w:lang w:val="en-GB" w:eastAsia="lt-LT"/>
        </w:rPr>
        <w:t xml:space="preserve"> – </w:t>
      </w:r>
      <w:r w:rsidRPr="006663E2">
        <w:rPr>
          <w:rFonts w:ascii="Times New Roman" w:hAnsi="Times New Roman" w:cs="Times New Roman"/>
          <w:sz w:val="24"/>
          <w:szCs w:val="24"/>
          <w:lang w:val="en-GB" w:eastAsia="lt-LT"/>
        </w:rPr>
        <w:t>PI Central Project Management Agency</w:t>
      </w:r>
      <w:r w:rsidR="00FB452A" w:rsidRPr="006663E2">
        <w:rPr>
          <w:rFonts w:ascii="Times New Roman" w:hAnsi="Times New Roman" w:cs="Times New Roman"/>
          <w:sz w:val="24"/>
          <w:szCs w:val="24"/>
          <w:lang w:val="en-GB" w:eastAsia="lt-LT"/>
        </w:rPr>
        <w:t>.</w:t>
      </w:r>
    </w:p>
    <w:p w14:paraId="4498B155" w14:textId="7D103109" w:rsidR="001C4BA6" w:rsidRPr="006663E2" w:rsidRDefault="00277F59"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b/>
          <w:bCs/>
          <w:sz w:val="24"/>
          <w:szCs w:val="24"/>
          <w:lang w:val="en-GB" w:eastAsia="lt-LT"/>
        </w:rPr>
        <w:t>Donor Project Partner</w:t>
      </w:r>
      <w:r w:rsidR="00FB452A" w:rsidRPr="006663E2">
        <w:rPr>
          <w:rFonts w:ascii="Times New Roman" w:hAnsi="Times New Roman" w:cs="Times New Roman"/>
          <w:b/>
          <w:bCs/>
          <w:sz w:val="24"/>
          <w:szCs w:val="24"/>
          <w:lang w:val="en-GB" w:eastAsia="lt-LT"/>
        </w:rPr>
        <w:t xml:space="preserve"> </w:t>
      </w:r>
      <w:r w:rsidR="00440F13" w:rsidRPr="006663E2">
        <w:rPr>
          <w:rFonts w:ascii="Times New Roman" w:hAnsi="Times New Roman" w:cs="Times New Roman"/>
          <w:sz w:val="24"/>
          <w:szCs w:val="24"/>
          <w:lang w:val="en-GB" w:eastAsia="lt-LT"/>
        </w:rPr>
        <w:t>–</w:t>
      </w:r>
      <w:r w:rsidR="00FB452A" w:rsidRPr="006663E2">
        <w:rPr>
          <w:rFonts w:ascii="Times New Roman" w:hAnsi="Times New Roman" w:cs="Times New Roman"/>
          <w:sz w:val="24"/>
          <w:szCs w:val="24"/>
          <w:lang w:val="en-GB" w:eastAsia="lt-LT"/>
        </w:rPr>
        <w:t xml:space="preserve"> </w:t>
      </w:r>
      <w:r w:rsidR="00F2603A" w:rsidRPr="006663E2">
        <w:rPr>
          <w:rFonts w:ascii="Times New Roman" w:hAnsi="Times New Roman" w:cs="Times New Roman"/>
          <w:sz w:val="24"/>
          <w:szCs w:val="24"/>
          <w:lang w:val="en-GB" w:eastAsia="lt-LT"/>
        </w:rPr>
        <w:t>a legal entity</w:t>
      </w:r>
      <w:r w:rsidR="004E0C05" w:rsidRPr="006663E2">
        <w:rPr>
          <w:rFonts w:ascii="Times New Roman" w:hAnsi="Times New Roman" w:cs="Times New Roman"/>
          <w:sz w:val="24"/>
          <w:szCs w:val="24"/>
          <w:lang w:val="en-GB" w:eastAsia="lt-LT"/>
        </w:rPr>
        <w:t xml:space="preserve"> established as a legal person</w:t>
      </w:r>
      <w:r w:rsidR="00F2603A" w:rsidRPr="006663E2">
        <w:rPr>
          <w:rFonts w:ascii="Times New Roman" w:hAnsi="Times New Roman" w:cs="Times New Roman"/>
          <w:sz w:val="24"/>
          <w:szCs w:val="24"/>
          <w:lang w:val="en-GB" w:eastAsia="lt-LT"/>
        </w:rPr>
        <w:t xml:space="preserve"> in </w:t>
      </w:r>
      <w:r w:rsidR="004E0C05" w:rsidRPr="006663E2">
        <w:rPr>
          <w:rFonts w:ascii="Times New Roman" w:hAnsi="Times New Roman" w:cs="Times New Roman"/>
          <w:sz w:val="24"/>
          <w:szCs w:val="24"/>
          <w:lang w:val="en-GB" w:eastAsia="lt-LT"/>
        </w:rPr>
        <w:t>one of the</w:t>
      </w:r>
      <w:r w:rsidR="00F2603A" w:rsidRPr="006663E2">
        <w:rPr>
          <w:rFonts w:ascii="Times New Roman" w:hAnsi="Times New Roman" w:cs="Times New Roman"/>
          <w:sz w:val="24"/>
          <w:szCs w:val="24"/>
          <w:lang w:val="en-GB" w:eastAsia="lt-LT"/>
        </w:rPr>
        <w:t xml:space="preserve"> Donor State</w:t>
      </w:r>
      <w:r w:rsidR="00683742" w:rsidRPr="006663E2">
        <w:rPr>
          <w:rFonts w:ascii="Times New Roman" w:hAnsi="Times New Roman" w:cs="Times New Roman"/>
          <w:sz w:val="24"/>
          <w:szCs w:val="24"/>
          <w:lang w:val="en-GB" w:eastAsia="lt-LT"/>
        </w:rPr>
        <w:t>s</w:t>
      </w:r>
      <w:r w:rsidR="00F2603A" w:rsidRPr="006663E2">
        <w:rPr>
          <w:rFonts w:ascii="Times New Roman" w:hAnsi="Times New Roman" w:cs="Times New Roman"/>
          <w:sz w:val="24"/>
          <w:szCs w:val="24"/>
          <w:lang w:val="en-GB" w:eastAsia="lt-LT"/>
        </w:rPr>
        <w:t xml:space="preserve"> (</w:t>
      </w:r>
      <w:r w:rsidR="001C4BA6" w:rsidRPr="006663E2">
        <w:rPr>
          <w:rFonts w:ascii="Times New Roman" w:hAnsi="Times New Roman" w:cs="Times New Roman"/>
          <w:sz w:val="24"/>
          <w:szCs w:val="24"/>
          <w:lang w:val="en-GB" w:eastAsia="lt-LT"/>
        </w:rPr>
        <w:t>t</w:t>
      </w:r>
      <w:r w:rsidR="0012370B" w:rsidRPr="006663E2">
        <w:rPr>
          <w:rFonts w:ascii="Times New Roman" w:hAnsi="Times New Roman" w:cs="Times New Roman"/>
          <w:sz w:val="24"/>
          <w:szCs w:val="24"/>
          <w:lang w:val="en-GB" w:eastAsia="lt-LT"/>
        </w:rPr>
        <w:t>he Republic of Iceland, the Principality of Liechtenstein and the Kingdom of Norway</w:t>
      </w:r>
      <w:r w:rsidR="001C4BA6" w:rsidRPr="006663E2">
        <w:rPr>
          <w:rFonts w:ascii="Times New Roman" w:hAnsi="Times New Roman" w:cs="Times New Roman"/>
          <w:sz w:val="24"/>
          <w:szCs w:val="24"/>
          <w:lang w:val="en-GB" w:eastAsia="lt-LT"/>
        </w:rPr>
        <w:t xml:space="preserve">, </w:t>
      </w:r>
      <w:r w:rsidR="00F2603A" w:rsidRPr="006663E2">
        <w:rPr>
          <w:rFonts w:ascii="Times New Roman" w:hAnsi="Times New Roman" w:cs="Times New Roman"/>
          <w:sz w:val="24"/>
          <w:szCs w:val="24"/>
          <w:lang w:val="en-GB" w:eastAsia="lt-LT"/>
        </w:rPr>
        <w:t>which is actively involved in the preparation of a project application</w:t>
      </w:r>
      <w:r w:rsidR="001C4BA6" w:rsidRPr="006663E2">
        <w:rPr>
          <w:rFonts w:ascii="Times New Roman" w:hAnsi="Times New Roman" w:cs="Times New Roman"/>
          <w:sz w:val="24"/>
          <w:szCs w:val="24"/>
          <w:lang w:val="en-GB" w:eastAsia="lt-LT"/>
        </w:rPr>
        <w:t xml:space="preserve"> </w:t>
      </w:r>
      <w:r w:rsidR="00F2603A" w:rsidRPr="006663E2">
        <w:rPr>
          <w:rFonts w:ascii="Times New Roman" w:hAnsi="Times New Roman" w:cs="Times New Roman"/>
          <w:sz w:val="24"/>
          <w:szCs w:val="24"/>
          <w:lang w:val="en-GB" w:eastAsia="lt-LT"/>
        </w:rPr>
        <w:t xml:space="preserve">and contributes to the implementation of the project on the basis of a partnership agreement signed with the </w:t>
      </w:r>
      <w:r w:rsidR="00CD36DC" w:rsidRPr="006663E2">
        <w:rPr>
          <w:rFonts w:ascii="Times New Roman" w:hAnsi="Times New Roman" w:cs="Times New Roman"/>
          <w:sz w:val="24"/>
          <w:szCs w:val="24"/>
          <w:lang w:val="en-GB" w:eastAsia="lt-LT"/>
        </w:rPr>
        <w:t>P</w:t>
      </w:r>
      <w:r w:rsidR="00F2603A" w:rsidRPr="006663E2">
        <w:rPr>
          <w:rFonts w:ascii="Times New Roman" w:hAnsi="Times New Roman" w:cs="Times New Roman"/>
          <w:sz w:val="24"/>
          <w:szCs w:val="24"/>
          <w:lang w:val="en-GB" w:eastAsia="lt-LT"/>
        </w:rPr>
        <w:t xml:space="preserve">roject </w:t>
      </w:r>
      <w:r w:rsidR="00CD36DC" w:rsidRPr="006663E2">
        <w:rPr>
          <w:rFonts w:ascii="Times New Roman" w:hAnsi="Times New Roman" w:cs="Times New Roman"/>
          <w:sz w:val="24"/>
          <w:szCs w:val="24"/>
          <w:lang w:val="en-GB" w:eastAsia="lt-LT"/>
        </w:rPr>
        <w:t>P</w:t>
      </w:r>
      <w:r w:rsidR="00F2603A" w:rsidRPr="006663E2">
        <w:rPr>
          <w:rFonts w:ascii="Times New Roman" w:hAnsi="Times New Roman" w:cs="Times New Roman"/>
          <w:sz w:val="24"/>
          <w:szCs w:val="24"/>
          <w:lang w:val="en-GB" w:eastAsia="lt-LT"/>
        </w:rPr>
        <w:t>romoter</w:t>
      </w:r>
      <w:r w:rsidR="00FB452A" w:rsidRPr="006663E2">
        <w:rPr>
          <w:rFonts w:ascii="Times New Roman" w:hAnsi="Times New Roman" w:cs="Times New Roman"/>
          <w:sz w:val="24"/>
          <w:szCs w:val="24"/>
          <w:lang w:val="en-GB" w:eastAsia="lt-LT"/>
        </w:rPr>
        <w:t>.</w:t>
      </w:r>
    </w:p>
    <w:p w14:paraId="47554075" w14:textId="4C9B2ECB" w:rsidR="001C4BA6" w:rsidRPr="006663E2" w:rsidRDefault="00FB452A" w:rsidP="00C540E2">
      <w:pPr>
        <w:pStyle w:val="ListParagraph"/>
        <w:numPr>
          <w:ilvl w:val="1"/>
          <w:numId w:val="3"/>
        </w:numPr>
        <w:spacing w:after="120" w:line="240" w:lineRule="auto"/>
        <w:jc w:val="both"/>
        <w:rPr>
          <w:rFonts w:ascii="Times New Roman" w:hAnsi="Times New Roman" w:cs="Times New Roman"/>
          <w:sz w:val="24"/>
          <w:szCs w:val="24"/>
          <w:lang w:val="en-GB" w:eastAsia="lt-LT"/>
        </w:rPr>
      </w:pPr>
      <w:r w:rsidRPr="006663E2">
        <w:rPr>
          <w:rFonts w:ascii="Times New Roman" w:hAnsi="Times New Roman" w:cs="Times New Roman"/>
          <w:b/>
          <w:bCs/>
          <w:sz w:val="24"/>
          <w:szCs w:val="24"/>
          <w:lang w:val="en-GB" w:eastAsia="lt-LT"/>
        </w:rPr>
        <w:t>DMS</w:t>
      </w:r>
      <w:r w:rsidRPr="006663E2">
        <w:rPr>
          <w:rFonts w:ascii="Times New Roman" w:hAnsi="Times New Roman" w:cs="Times New Roman"/>
          <w:sz w:val="24"/>
          <w:szCs w:val="24"/>
          <w:lang w:val="en-GB" w:eastAsia="lt-LT"/>
        </w:rPr>
        <w:t xml:space="preserve"> </w:t>
      </w:r>
      <w:r w:rsidR="006C5EFB" w:rsidRPr="006663E2">
        <w:rPr>
          <w:rFonts w:ascii="Times New Roman" w:hAnsi="Times New Roman" w:cs="Times New Roman"/>
          <w:sz w:val="24"/>
          <w:szCs w:val="24"/>
          <w:lang w:val="en-GB" w:eastAsia="lt-LT"/>
        </w:rPr>
        <w:t>–</w:t>
      </w:r>
      <w:r w:rsidR="001C4BA6" w:rsidRPr="006663E2">
        <w:rPr>
          <w:rFonts w:ascii="Times New Roman" w:hAnsi="Times New Roman" w:cs="Times New Roman"/>
          <w:sz w:val="24"/>
          <w:szCs w:val="24"/>
          <w:lang w:val="en-GB" w:eastAsia="lt-LT"/>
        </w:rPr>
        <w:t xml:space="preserve"> </w:t>
      </w:r>
      <w:r w:rsidR="006C5EFB" w:rsidRPr="006663E2">
        <w:rPr>
          <w:rFonts w:ascii="Times New Roman" w:hAnsi="Times New Roman" w:cs="Times New Roman"/>
          <w:sz w:val="24"/>
          <w:szCs w:val="24"/>
          <w:lang w:val="en-GB" w:eastAsia="lt-LT"/>
        </w:rPr>
        <w:t xml:space="preserve">site for the exchange of project data of </w:t>
      </w:r>
      <w:r w:rsidRPr="006663E2">
        <w:rPr>
          <w:rFonts w:ascii="Times New Roman" w:hAnsi="Times New Roman" w:cs="Times New Roman"/>
          <w:sz w:val="24"/>
          <w:szCs w:val="24"/>
          <w:lang w:val="en-GB" w:eastAsia="lt-LT"/>
        </w:rPr>
        <w:t>EE</w:t>
      </w:r>
      <w:r w:rsidR="006C5EFB" w:rsidRPr="006663E2">
        <w:rPr>
          <w:rFonts w:ascii="Times New Roman" w:hAnsi="Times New Roman" w:cs="Times New Roman"/>
          <w:sz w:val="24"/>
          <w:szCs w:val="24"/>
          <w:lang w:val="en-GB" w:eastAsia="lt-LT"/>
        </w:rPr>
        <w:t>A and Norwegian financial mechanisms 2014-2021</w:t>
      </w:r>
      <w:r w:rsidRPr="006663E2">
        <w:rPr>
          <w:rFonts w:ascii="Times New Roman" w:hAnsi="Times New Roman" w:cs="Times New Roman"/>
          <w:sz w:val="24"/>
          <w:szCs w:val="24"/>
          <w:lang w:val="en-GB" w:eastAsia="lt-LT"/>
        </w:rPr>
        <w:t>.</w:t>
      </w:r>
    </w:p>
    <w:p w14:paraId="25AC8DC2" w14:textId="77777777" w:rsidR="00273FB4" w:rsidRPr="006663E2" w:rsidRDefault="00F1783E" w:rsidP="00C540E2">
      <w:pPr>
        <w:pStyle w:val="ListParagraph"/>
        <w:numPr>
          <w:ilvl w:val="1"/>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eastAsia="lt-LT"/>
        </w:rPr>
        <w:t>EEA</w:t>
      </w:r>
      <w:r w:rsidR="00FB452A" w:rsidRPr="006663E2">
        <w:rPr>
          <w:rFonts w:ascii="Times New Roman" w:hAnsi="Times New Roman" w:cs="Times New Roman"/>
          <w:sz w:val="24"/>
          <w:szCs w:val="24"/>
          <w:lang w:val="en-GB" w:eastAsia="lt-LT"/>
        </w:rPr>
        <w:t xml:space="preserve"> </w:t>
      </w:r>
      <w:r w:rsidRPr="006663E2">
        <w:rPr>
          <w:rFonts w:ascii="Times New Roman" w:hAnsi="Times New Roman" w:cs="Times New Roman"/>
          <w:sz w:val="24"/>
          <w:szCs w:val="24"/>
          <w:lang w:val="en-GB" w:eastAsia="lt-LT"/>
        </w:rPr>
        <w:t>–</w:t>
      </w:r>
      <w:r w:rsidR="00FB452A" w:rsidRPr="006663E2">
        <w:rPr>
          <w:rFonts w:ascii="Times New Roman" w:hAnsi="Times New Roman" w:cs="Times New Roman"/>
          <w:sz w:val="24"/>
          <w:szCs w:val="24"/>
          <w:lang w:val="en-GB" w:eastAsia="lt-LT"/>
        </w:rPr>
        <w:t xml:space="preserve"> </w:t>
      </w:r>
      <w:r w:rsidRPr="006663E2">
        <w:rPr>
          <w:rFonts w:ascii="Times New Roman" w:hAnsi="Times New Roman" w:cs="Times New Roman"/>
          <w:sz w:val="24"/>
          <w:szCs w:val="24"/>
          <w:lang w:val="en-GB"/>
        </w:rPr>
        <w:t>European Economic Area</w:t>
      </w:r>
      <w:r w:rsidR="00FB452A" w:rsidRPr="006663E2">
        <w:rPr>
          <w:rFonts w:ascii="Times New Roman" w:hAnsi="Times New Roman" w:cs="Times New Roman"/>
          <w:sz w:val="24"/>
          <w:szCs w:val="24"/>
          <w:lang w:val="en-GB"/>
        </w:rPr>
        <w:t>.</w:t>
      </w:r>
    </w:p>
    <w:p w14:paraId="58DFD3A8" w14:textId="77777777" w:rsidR="000660C7" w:rsidRPr="006663E2" w:rsidRDefault="00273FB4" w:rsidP="000660C7">
      <w:pPr>
        <w:pStyle w:val="ListParagraph"/>
        <w:numPr>
          <w:ilvl w:val="1"/>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b/>
          <w:sz w:val="24"/>
          <w:szCs w:val="24"/>
          <w:lang w:val="en-GB"/>
        </w:rPr>
        <w:t xml:space="preserve">Young person (youth) - </w:t>
      </w:r>
      <w:r w:rsidRPr="006663E2">
        <w:rPr>
          <w:rFonts w:ascii="Times New Roman" w:hAnsi="Times New Roman" w:cs="Times New Roman"/>
          <w:sz w:val="24"/>
          <w:szCs w:val="24"/>
          <w:lang w:val="en-GB"/>
        </w:rPr>
        <w:t>a person between the ages of 14-</w:t>
      </w:r>
      <w:r w:rsidR="000660C7" w:rsidRPr="006663E2">
        <w:rPr>
          <w:rFonts w:ascii="Times New Roman" w:hAnsi="Times New Roman" w:cs="Times New Roman"/>
          <w:sz w:val="24"/>
          <w:szCs w:val="24"/>
          <w:lang w:val="en-GB"/>
        </w:rPr>
        <w:t>24</w:t>
      </w:r>
      <w:r w:rsidRPr="006663E2">
        <w:rPr>
          <w:rFonts w:ascii="Times New Roman" w:hAnsi="Times New Roman" w:cs="Times New Roman"/>
          <w:sz w:val="24"/>
          <w:szCs w:val="24"/>
          <w:lang w:val="en-GB"/>
        </w:rPr>
        <w:t xml:space="preserve"> years (inclusive).</w:t>
      </w:r>
      <w:bookmarkStart w:id="0" w:name="_Hlk18086070"/>
    </w:p>
    <w:p w14:paraId="58098F08" w14:textId="77777777" w:rsidR="009A13A0" w:rsidRPr="006663E2" w:rsidRDefault="00C44A3D" w:rsidP="009A13A0">
      <w:pPr>
        <w:pStyle w:val="ListParagraph"/>
        <w:numPr>
          <w:ilvl w:val="1"/>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b/>
          <w:sz w:val="24"/>
          <w:szCs w:val="24"/>
          <w:lang w:val="en-GB"/>
        </w:rPr>
        <w:t>MAFR</w:t>
      </w:r>
      <w:r w:rsidRPr="006663E2">
        <w:rPr>
          <w:rFonts w:ascii="Times New Roman" w:hAnsi="Times New Roman" w:cs="Times New Roman"/>
          <w:sz w:val="24"/>
          <w:szCs w:val="24"/>
          <w:lang w:val="en-GB"/>
        </w:rPr>
        <w:t xml:space="preserve"> - Rules of Administration and Financing of EEA and Norwegian Financial Mechanisms 2014-2021, approved by the Order No. 1K-389 of the Minister of Finance of the Republic of Lithuania of 12 November 2018;</w:t>
      </w:r>
    </w:p>
    <w:p w14:paraId="211BE295" w14:textId="5E8FEFF3" w:rsidR="00273FB4" w:rsidRPr="006663E2" w:rsidRDefault="00F1783E" w:rsidP="009A13A0">
      <w:pPr>
        <w:pStyle w:val="ListParagraph"/>
        <w:numPr>
          <w:ilvl w:val="1"/>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rPr>
        <w:t>Mechanism Funds</w:t>
      </w:r>
      <w:r w:rsidR="001448BE" w:rsidRPr="006663E2">
        <w:rPr>
          <w:rFonts w:ascii="Times New Roman" w:hAnsi="Times New Roman" w:cs="Times New Roman"/>
          <w:bCs/>
          <w:sz w:val="24"/>
          <w:szCs w:val="24"/>
          <w:lang w:val="en-GB"/>
        </w:rPr>
        <w:t xml:space="preserve"> – </w:t>
      </w:r>
      <w:r w:rsidRPr="006663E2">
        <w:rPr>
          <w:rFonts w:ascii="Times New Roman" w:hAnsi="Times New Roman" w:cs="Times New Roman"/>
          <w:bCs/>
          <w:sz w:val="24"/>
          <w:szCs w:val="24"/>
          <w:lang w:val="en-GB"/>
        </w:rPr>
        <w:t xml:space="preserve">funds of EEA mechanism </w:t>
      </w:r>
      <w:r w:rsidR="001448BE" w:rsidRPr="006663E2">
        <w:rPr>
          <w:rFonts w:ascii="Times New Roman" w:hAnsi="Times New Roman" w:cs="Times New Roman"/>
          <w:bCs/>
          <w:sz w:val="24"/>
          <w:szCs w:val="24"/>
          <w:lang w:val="en-GB"/>
        </w:rPr>
        <w:t>2014-2021;</w:t>
      </w:r>
      <w:bookmarkEnd w:id="0"/>
    </w:p>
    <w:p w14:paraId="15C2FECB" w14:textId="77777777" w:rsidR="00A047A4" w:rsidRPr="006663E2" w:rsidRDefault="009A13A0" w:rsidP="00A047A4">
      <w:pPr>
        <w:pStyle w:val="ListParagraph"/>
        <w:numPr>
          <w:ilvl w:val="1"/>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b/>
          <w:sz w:val="24"/>
          <w:szCs w:val="24"/>
          <w:lang w:val="en-GB"/>
        </w:rPr>
        <w:t>New methodology</w:t>
      </w:r>
      <w:r w:rsidRPr="006663E2">
        <w:rPr>
          <w:rFonts w:ascii="Times New Roman" w:hAnsi="Times New Roman" w:cs="Times New Roman"/>
          <w:sz w:val="24"/>
          <w:szCs w:val="24"/>
          <w:lang w:val="en-GB"/>
        </w:rPr>
        <w:t xml:space="preserve"> - a program / tool / service or service package developed, licensed and / or certified, and / or patented, and / or otherwise approved in a foreign country, or a program / tool / service or service package developed by the applicant itself, which does not repeat or does not duplicate other similar programs / tools / services and / or is not a modified version of it. The </w:t>
      </w:r>
      <w:r w:rsidRPr="006663E2">
        <w:rPr>
          <w:rFonts w:ascii="Times New Roman" w:hAnsi="Times New Roman" w:cs="Times New Roman"/>
          <w:sz w:val="24"/>
          <w:szCs w:val="24"/>
          <w:lang w:val="en-GB"/>
        </w:rPr>
        <w:lastRenderedPageBreak/>
        <w:t>methodology must have its own guidelines, manual or other document that reveals a clear content of the methodology, principles, working methods and tools, clearly identifies the target groups, etc. - that is, explain the content of the methodology and its application;</w:t>
      </w:r>
    </w:p>
    <w:p w14:paraId="7EFC757E" w14:textId="0F36A5A4" w:rsidR="00ED248E" w:rsidRPr="006663E2" w:rsidRDefault="00AA4D57"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sz w:val="24"/>
          <w:szCs w:val="24"/>
          <w:lang w:val="en-GB"/>
        </w:rPr>
        <w:t>New work model</w:t>
      </w:r>
      <w:r w:rsidRPr="006663E2">
        <w:rPr>
          <w:rFonts w:ascii="Times New Roman" w:hAnsi="Times New Roman" w:cs="Times New Roman"/>
          <w:sz w:val="24"/>
          <w:szCs w:val="24"/>
          <w:lang w:val="en-GB"/>
        </w:rPr>
        <w:t xml:space="preserve"> - activities that improve the provision of existing services and work with the selected target group (</w:t>
      </w:r>
      <w:r w:rsidR="00F959E8" w:rsidRPr="006663E2">
        <w:rPr>
          <w:rFonts w:ascii="Times New Roman" w:hAnsi="Times New Roman" w:cs="Times New Roman"/>
          <w:sz w:val="24"/>
          <w:szCs w:val="24"/>
          <w:lang w:val="en-GB"/>
        </w:rPr>
        <w:t>e.g.</w:t>
      </w:r>
      <w:r w:rsidRPr="006663E2">
        <w:rPr>
          <w:rFonts w:ascii="Times New Roman" w:hAnsi="Times New Roman" w:cs="Times New Roman"/>
          <w:sz w:val="24"/>
          <w:szCs w:val="24"/>
          <w:lang w:val="en-GB"/>
        </w:rPr>
        <w:t>, proposing a new algorithm for the provision of existing services or solving a specific problem);</w:t>
      </w:r>
    </w:p>
    <w:p w14:paraId="612C0B9E" w14:textId="3E7D4E4F" w:rsidR="00C90354" w:rsidRPr="006663E2" w:rsidRDefault="00ED248E"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sz w:val="24"/>
          <w:szCs w:val="24"/>
          <w:lang w:val="en-GB"/>
        </w:rPr>
        <w:t>The new assistance mechanism</w:t>
      </w:r>
      <w:r w:rsidRPr="006663E2">
        <w:rPr>
          <w:rFonts w:ascii="Times New Roman" w:hAnsi="Times New Roman" w:cs="Times New Roman"/>
          <w:sz w:val="24"/>
          <w:szCs w:val="24"/>
          <w:lang w:val="en-GB"/>
        </w:rPr>
        <w:t xml:space="preserve"> - a set of services and / or workin</w:t>
      </w:r>
      <w:r w:rsidR="008F3D58" w:rsidRPr="006663E2">
        <w:rPr>
          <w:rFonts w:ascii="Times New Roman" w:hAnsi="Times New Roman" w:cs="Times New Roman"/>
          <w:sz w:val="24"/>
          <w:szCs w:val="24"/>
          <w:lang w:val="en-GB"/>
        </w:rPr>
        <w:t>g methods, of which at least 50 percent</w:t>
      </w:r>
      <w:r w:rsidRPr="006663E2">
        <w:rPr>
          <w:rFonts w:ascii="Times New Roman" w:hAnsi="Times New Roman" w:cs="Times New Roman"/>
          <w:sz w:val="24"/>
          <w:szCs w:val="24"/>
          <w:lang w:val="en-GB"/>
        </w:rPr>
        <w:t xml:space="preserve"> there are new services and (or) working methods (</w:t>
      </w:r>
      <w:r w:rsidR="00F959E8" w:rsidRPr="006663E2">
        <w:rPr>
          <w:rFonts w:ascii="Times New Roman" w:hAnsi="Times New Roman" w:cs="Times New Roman"/>
          <w:sz w:val="24"/>
          <w:szCs w:val="24"/>
          <w:lang w:val="en-GB"/>
        </w:rPr>
        <w:t>i.e.</w:t>
      </w:r>
      <w:r w:rsidRPr="006663E2">
        <w:rPr>
          <w:rFonts w:ascii="Times New Roman" w:hAnsi="Times New Roman" w:cs="Times New Roman"/>
          <w:sz w:val="24"/>
          <w:szCs w:val="24"/>
          <w:lang w:val="en-GB"/>
        </w:rPr>
        <w:t xml:space="preserve"> services / working methods not </w:t>
      </w:r>
      <w:r w:rsidR="00C90354" w:rsidRPr="006663E2">
        <w:rPr>
          <w:rFonts w:ascii="Times New Roman" w:hAnsi="Times New Roman" w:cs="Times New Roman"/>
          <w:sz w:val="24"/>
          <w:szCs w:val="24"/>
          <w:lang w:val="en-GB"/>
        </w:rPr>
        <w:t>applied</w:t>
      </w:r>
      <w:r w:rsidRPr="006663E2">
        <w:rPr>
          <w:rFonts w:ascii="Times New Roman" w:hAnsi="Times New Roman" w:cs="Times New Roman"/>
          <w:sz w:val="24"/>
          <w:szCs w:val="24"/>
          <w:lang w:val="en-GB"/>
        </w:rPr>
        <w:t>/ not available in Lithuania), due to which the supply of existing services to the selected target group is increased and work with it is made more efficient;</w:t>
      </w:r>
    </w:p>
    <w:p w14:paraId="261CF00A" w14:textId="77777777" w:rsidR="00C90354" w:rsidRPr="006663E2" w:rsidRDefault="002F12F9"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rPr>
        <w:t>Applicant</w:t>
      </w:r>
      <w:r w:rsidR="00FB452A"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w:t>
      </w:r>
      <w:r w:rsidR="00FB452A"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a legal entity registered in Lithuania having submitted a project application</w:t>
      </w:r>
      <w:r w:rsidR="00FB452A"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 xml:space="preserve">After signing a project </w:t>
      </w:r>
      <w:r w:rsidR="0081545D" w:rsidRPr="006663E2">
        <w:rPr>
          <w:rFonts w:ascii="Times New Roman" w:hAnsi="Times New Roman" w:cs="Times New Roman"/>
          <w:sz w:val="24"/>
          <w:szCs w:val="24"/>
          <w:lang w:val="en-GB"/>
        </w:rPr>
        <w:t>contract</w:t>
      </w:r>
      <w:r w:rsidRPr="006663E2">
        <w:rPr>
          <w:rFonts w:ascii="Times New Roman" w:hAnsi="Times New Roman" w:cs="Times New Roman"/>
          <w:sz w:val="24"/>
          <w:szCs w:val="24"/>
          <w:lang w:val="en-GB"/>
        </w:rPr>
        <w:t>, the Applicant becomes a Project Promoter</w:t>
      </w:r>
      <w:r w:rsidR="00FB452A" w:rsidRPr="006663E2">
        <w:rPr>
          <w:rFonts w:ascii="Times New Roman" w:hAnsi="Times New Roman" w:cs="Times New Roman"/>
          <w:sz w:val="24"/>
          <w:szCs w:val="24"/>
          <w:lang w:val="en-GB"/>
        </w:rPr>
        <w:t>.</w:t>
      </w:r>
      <w:bookmarkStart w:id="1" w:name="_Hlk18086092"/>
    </w:p>
    <w:p w14:paraId="5116C69E" w14:textId="77777777" w:rsidR="00C90354" w:rsidRPr="006663E2" w:rsidRDefault="002F12F9"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rPr>
        <w:t>Process Working Group</w:t>
      </w:r>
      <w:r w:rsidR="00063A27" w:rsidRPr="006663E2">
        <w:rPr>
          <w:rFonts w:ascii="Times New Roman" w:hAnsi="Times New Roman" w:cs="Times New Roman"/>
          <w:b/>
          <w:bCs/>
          <w:sz w:val="24"/>
          <w:szCs w:val="24"/>
          <w:lang w:val="en-GB"/>
        </w:rPr>
        <w:t xml:space="preserve"> </w:t>
      </w:r>
      <w:r w:rsidRPr="006663E2">
        <w:rPr>
          <w:rFonts w:ascii="Times New Roman" w:hAnsi="Times New Roman" w:cs="Times New Roman"/>
          <w:sz w:val="24"/>
          <w:szCs w:val="24"/>
          <w:lang w:val="en-GB"/>
        </w:rPr>
        <w:t>– a working group for the establishment of processes of administration of EEA and Norwegian financial mechanisms, set up by Order No</w:t>
      </w:r>
      <w:r w:rsidR="0003089B" w:rsidRPr="006663E2">
        <w:rPr>
          <w:rFonts w:ascii="Times New Roman" w:hAnsi="Times New Roman" w:cs="Times New Roman"/>
          <w:sz w:val="24"/>
          <w:szCs w:val="24"/>
          <w:lang w:val="en-GB"/>
        </w:rPr>
        <w:t>.</w:t>
      </w:r>
      <w:r w:rsidRPr="006663E2">
        <w:rPr>
          <w:rFonts w:ascii="Times New Roman" w:hAnsi="Times New Roman" w:cs="Times New Roman"/>
          <w:sz w:val="24"/>
          <w:szCs w:val="24"/>
          <w:lang w:val="en-GB"/>
        </w:rPr>
        <w:t xml:space="preserve"> 1K-109 of the Minister of Finance of the Republic of Lithuania of 8 March 2018 “Regarding the Formation of a Working Group”</w:t>
      </w:r>
      <w:r w:rsidR="00063A27" w:rsidRPr="006663E2">
        <w:rPr>
          <w:rFonts w:ascii="Times New Roman" w:hAnsi="Times New Roman" w:cs="Times New Roman"/>
          <w:bCs/>
          <w:sz w:val="24"/>
          <w:szCs w:val="24"/>
          <w:lang w:val="en-GB"/>
        </w:rPr>
        <w:t>;</w:t>
      </w:r>
      <w:bookmarkEnd w:id="1"/>
    </w:p>
    <w:p w14:paraId="04F0E383" w14:textId="77777777" w:rsidR="00C90354" w:rsidRPr="006663E2" w:rsidRDefault="00F924D1"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rPr>
        <w:t>Project Partner</w:t>
      </w:r>
      <w:r w:rsidR="005E5E21" w:rsidRPr="006663E2">
        <w:rPr>
          <w:rFonts w:ascii="Times New Roman" w:hAnsi="Times New Roman" w:cs="Times New Roman"/>
          <w:sz w:val="24"/>
          <w:szCs w:val="24"/>
          <w:lang w:val="en-GB"/>
        </w:rPr>
        <w:t xml:space="preserve"> </w:t>
      </w:r>
      <w:r w:rsidR="00FB452A"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 xml:space="preserve">a legal </w:t>
      </w:r>
      <w:r w:rsidR="004B380B" w:rsidRPr="006663E2">
        <w:rPr>
          <w:rFonts w:ascii="Times New Roman" w:hAnsi="Times New Roman" w:cs="Times New Roman"/>
          <w:sz w:val="24"/>
          <w:szCs w:val="24"/>
          <w:lang w:val="en-GB"/>
        </w:rPr>
        <w:t>person</w:t>
      </w:r>
      <w:r w:rsidRPr="006663E2">
        <w:rPr>
          <w:rFonts w:ascii="Times New Roman" w:hAnsi="Times New Roman" w:cs="Times New Roman"/>
          <w:sz w:val="24"/>
          <w:szCs w:val="24"/>
          <w:lang w:val="en-GB"/>
        </w:rPr>
        <w:t xml:space="preserve"> registered in Lithuania</w:t>
      </w:r>
      <w:r w:rsidR="00093F16" w:rsidRPr="006663E2">
        <w:rPr>
          <w:rFonts w:ascii="Times New Roman" w:hAnsi="Times New Roman" w:cs="Times New Roman"/>
          <w:sz w:val="24"/>
          <w:szCs w:val="24"/>
          <w:lang w:val="en-GB"/>
        </w:rPr>
        <w:t xml:space="preserve"> or in one of Donor states</w:t>
      </w:r>
      <w:r w:rsidR="00132151" w:rsidRPr="006663E2">
        <w:rPr>
          <w:rFonts w:ascii="Times New Roman" w:hAnsi="Times New Roman" w:cs="Times New Roman"/>
          <w:sz w:val="24"/>
          <w:szCs w:val="24"/>
          <w:lang w:val="en-GB"/>
        </w:rPr>
        <w:t>,</w:t>
      </w:r>
      <w:r w:rsidRPr="006663E2">
        <w:rPr>
          <w:rFonts w:ascii="Times New Roman" w:hAnsi="Times New Roman" w:cs="Times New Roman"/>
          <w:sz w:val="24"/>
          <w:szCs w:val="24"/>
          <w:lang w:val="en-GB"/>
        </w:rPr>
        <w:t xml:space="preserve"> actively involved in the preparation of </w:t>
      </w:r>
      <w:r w:rsidR="0003089B"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 project application and contributing to the implementation of the project on the basis of a partnership agreement signed with the </w:t>
      </w:r>
      <w:r w:rsidR="00CD36DC"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 xml:space="preserve">roject </w:t>
      </w:r>
      <w:r w:rsidR="00CD36DC"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romoter</w:t>
      </w:r>
      <w:r w:rsidR="00FB452A" w:rsidRPr="006663E2">
        <w:rPr>
          <w:rFonts w:ascii="Times New Roman" w:hAnsi="Times New Roman" w:cs="Times New Roman"/>
          <w:sz w:val="24"/>
          <w:szCs w:val="24"/>
          <w:lang w:val="en-GB"/>
        </w:rPr>
        <w:t>.</w:t>
      </w:r>
    </w:p>
    <w:p w14:paraId="2CAB7254" w14:textId="52CB1D61" w:rsidR="00C90354" w:rsidRPr="006663E2" w:rsidRDefault="008153F6"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rPr>
        <w:t>Project Promoter</w:t>
      </w:r>
      <w:r w:rsidR="00FB452A" w:rsidRPr="006663E2">
        <w:rPr>
          <w:rFonts w:ascii="Times New Roman" w:hAnsi="Times New Roman" w:cs="Times New Roman"/>
          <w:sz w:val="24"/>
          <w:szCs w:val="24"/>
          <w:lang w:val="en-GB"/>
        </w:rPr>
        <w:t xml:space="preserve"> – </w:t>
      </w:r>
      <w:r w:rsidRPr="006663E2">
        <w:rPr>
          <w:rFonts w:ascii="Times New Roman" w:hAnsi="Times New Roman" w:cs="Times New Roman"/>
          <w:sz w:val="24"/>
          <w:szCs w:val="24"/>
          <w:lang w:val="en-GB"/>
        </w:rPr>
        <w:t xml:space="preserve">a legal entity registered in Lithuania </w:t>
      </w:r>
      <w:r w:rsidR="00C51403" w:rsidRPr="006663E2">
        <w:rPr>
          <w:rFonts w:ascii="Times New Roman" w:hAnsi="Times New Roman" w:cs="Times New Roman"/>
          <w:sz w:val="24"/>
          <w:szCs w:val="24"/>
          <w:lang w:val="en-GB"/>
        </w:rPr>
        <w:t xml:space="preserve">to which mechanism, co-financing funds are allocated and which, on a basis of a contract signed with the CPMA, is responsible for the implementation of the project selected </w:t>
      </w:r>
      <w:r w:rsidRPr="006663E2">
        <w:rPr>
          <w:rFonts w:ascii="Times New Roman" w:hAnsi="Times New Roman" w:cs="Times New Roman"/>
          <w:sz w:val="24"/>
          <w:szCs w:val="24"/>
          <w:lang w:val="en-GB"/>
        </w:rPr>
        <w:t xml:space="preserve">under the call </w:t>
      </w:r>
      <w:r w:rsidR="00746C81" w:rsidRPr="006663E2">
        <w:rPr>
          <w:rFonts w:ascii="Times New Roman" w:hAnsi="Times New Roman" w:cs="Times New Roman"/>
          <w:sz w:val="24"/>
          <w:szCs w:val="24"/>
          <w:lang w:val="en-GB"/>
        </w:rPr>
        <w:t>„Mechanisms of social inclusion strengthening for children and young people with high-risk behavio</w:t>
      </w:r>
      <w:r w:rsidR="00F959E8">
        <w:rPr>
          <w:rFonts w:ascii="Times New Roman" w:hAnsi="Times New Roman" w:cs="Times New Roman"/>
          <w:sz w:val="24"/>
          <w:szCs w:val="24"/>
          <w:lang w:val="en-GB"/>
        </w:rPr>
        <w:t>u</w:t>
      </w:r>
      <w:r w:rsidR="00746C81" w:rsidRPr="006663E2">
        <w:rPr>
          <w:rFonts w:ascii="Times New Roman" w:hAnsi="Times New Roman" w:cs="Times New Roman"/>
          <w:sz w:val="24"/>
          <w:szCs w:val="24"/>
          <w:lang w:val="en-GB"/>
        </w:rPr>
        <w:t>rs and / or from disadvantaged backgrounds</w:t>
      </w:r>
      <w:r w:rsidRPr="006663E2">
        <w:rPr>
          <w:rFonts w:ascii="Times New Roman" w:hAnsi="Times New Roman" w:cs="Times New Roman"/>
          <w:sz w:val="24"/>
          <w:szCs w:val="24"/>
          <w:lang w:val="en-GB"/>
        </w:rPr>
        <w:t>"</w:t>
      </w:r>
      <w:r w:rsidR="00C51403" w:rsidRPr="006663E2">
        <w:rPr>
          <w:rFonts w:ascii="Times New Roman" w:hAnsi="Times New Roman" w:cs="Times New Roman"/>
          <w:sz w:val="24"/>
          <w:szCs w:val="24"/>
          <w:lang w:val="en-GB"/>
        </w:rPr>
        <w:t>.</w:t>
      </w:r>
      <w:r w:rsidRPr="006663E2">
        <w:rPr>
          <w:rFonts w:ascii="Times New Roman" w:hAnsi="Times New Roman" w:cs="Times New Roman"/>
          <w:sz w:val="24"/>
          <w:szCs w:val="24"/>
          <w:lang w:val="en-GB"/>
        </w:rPr>
        <w:t xml:space="preserve"> </w:t>
      </w:r>
    </w:p>
    <w:p w14:paraId="0BC511CC" w14:textId="6831FC59" w:rsidR="00C90354" w:rsidRPr="006663E2" w:rsidRDefault="004F4A8D"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rPr>
        <w:t>Programme</w:t>
      </w:r>
      <w:r w:rsidR="00FB452A" w:rsidRPr="006663E2">
        <w:rPr>
          <w:rFonts w:ascii="Times New Roman" w:hAnsi="Times New Roman" w:cs="Times New Roman"/>
          <w:sz w:val="24"/>
          <w:szCs w:val="24"/>
          <w:lang w:val="en-GB"/>
        </w:rPr>
        <w:t xml:space="preserve"> – </w:t>
      </w:r>
      <w:r w:rsidRPr="006663E2">
        <w:rPr>
          <w:rFonts w:ascii="Times New Roman" w:hAnsi="Times New Roman" w:cs="Times New Roman"/>
          <w:sz w:val="24"/>
          <w:szCs w:val="24"/>
          <w:lang w:val="en-GB"/>
        </w:rPr>
        <w:t>EEA financial mechanism programme “</w:t>
      </w:r>
      <w:r w:rsidR="00093F16" w:rsidRPr="006663E2">
        <w:rPr>
          <w:rFonts w:ascii="Times New Roman" w:hAnsi="Times New Roman" w:cs="Times New Roman"/>
          <w:sz w:val="24"/>
          <w:szCs w:val="24"/>
          <w:lang w:val="en-GB"/>
        </w:rPr>
        <w:t>Health</w:t>
      </w:r>
      <w:r w:rsidRPr="006663E2">
        <w:rPr>
          <w:rFonts w:ascii="Times New Roman" w:hAnsi="Times New Roman" w:cs="Times New Roman"/>
          <w:sz w:val="24"/>
          <w:szCs w:val="24"/>
          <w:lang w:val="en-GB"/>
        </w:rPr>
        <w:t xml:space="preserve">” </w:t>
      </w:r>
      <w:r w:rsidR="00FB452A" w:rsidRPr="006663E2">
        <w:rPr>
          <w:rFonts w:ascii="Times New Roman" w:hAnsi="Times New Roman" w:cs="Times New Roman"/>
          <w:sz w:val="24"/>
          <w:szCs w:val="24"/>
          <w:lang w:val="en-GB"/>
        </w:rPr>
        <w:t>2014-2021 (</w:t>
      </w:r>
      <w:r w:rsidRPr="006663E2">
        <w:rPr>
          <w:rFonts w:ascii="Times New Roman" w:hAnsi="Times New Roman" w:cs="Times New Roman"/>
          <w:sz w:val="24"/>
          <w:szCs w:val="24"/>
          <w:lang w:val="en-GB"/>
        </w:rPr>
        <w:t xml:space="preserve">hereinafter also referred to as the </w:t>
      </w:r>
      <w:r w:rsidR="00093F16" w:rsidRPr="006663E2">
        <w:rPr>
          <w:rFonts w:ascii="Times New Roman" w:hAnsi="Times New Roman" w:cs="Times New Roman"/>
          <w:sz w:val="24"/>
          <w:szCs w:val="24"/>
          <w:lang w:val="en-GB"/>
        </w:rPr>
        <w:t xml:space="preserve">Health </w:t>
      </w:r>
      <w:r w:rsidRPr="006663E2">
        <w:rPr>
          <w:rFonts w:ascii="Times New Roman" w:hAnsi="Times New Roman" w:cs="Times New Roman"/>
          <w:sz w:val="24"/>
          <w:szCs w:val="24"/>
          <w:lang w:val="en-GB"/>
        </w:rPr>
        <w:t>Programme</w:t>
      </w:r>
      <w:r w:rsidR="00FB452A" w:rsidRPr="006663E2">
        <w:rPr>
          <w:rFonts w:ascii="Times New Roman" w:hAnsi="Times New Roman" w:cs="Times New Roman"/>
          <w:sz w:val="24"/>
          <w:szCs w:val="24"/>
          <w:lang w:val="en-GB"/>
        </w:rPr>
        <w:t>).</w:t>
      </w:r>
      <w:bookmarkStart w:id="2" w:name="_Hlk18086184"/>
    </w:p>
    <w:p w14:paraId="4C6FD9C8" w14:textId="06208D21" w:rsidR="00936041" w:rsidRPr="006663E2" w:rsidRDefault="004353E6"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rPr>
        <w:t xml:space="preserve">Market </w:t>
      </w:r>
      <w:r w:rsidR="00DE2785" w:rsidRPr="006663E2">
        <w:rPr>
          <w:rFonts w:ascii="Times New Roman" w:hAnsi="Times New Roman" w:cs="Times New Roman"/>
          <w:b/>
          <w:bCs/>
          <w:sz w:val="24"/>
          <w:szCs w:val="24"/>
          <w:lang w:val="en-GB"/>
        </w:rPr>
        <w:t>R</w:t>
      </w:r>
      <w:r w:rsidRPr="006663E2">
        <w:rPr>
          <w:rFonts w:ascii="Times New Roman" w:hAnsi="Times New Roman" w:cs="Times New Roman"/>
          <w:b/>
          <w:bCs/>
          <w:sz w:val="24"/>
          <w:szCs w:val="24"/>
          <w:lang w:val="en-GB"/>
        </w:rPr>
        <w:t>esearch</w:t>
      </w:r>
      <w:r w:rsidR="00BE0417" w:rsidRPr="006663E2">
        <w:rPr>
          <w:rFonts w:ascii="Times New Roman" w:hAnsi="Times New Roman" w:cs="Times New Roman"/>
          <w:b/>
          <w:bCs/>
          <w:sz w:val="24"/>
          <w:szCs w:val="24"/>
          <w:lang w:val="en-GB"/>
        </w:rPr>
        <w:t xml:space="preserve"> </w:t>
      </w:r>
      <w:r w:rsidRPr="006663E2">
        <w:rPr>
          <w:rFonts w:ascii="Times New Roman" w:hAnsi="Times New Roman" w:cs="Times New Roman"/>
          <w:b/>
          <w:bCs/>
          <w:sz w:val="24"/>
          <w:szCs w:val="24"/>
          <w:lang w:val="en-GB"/>
        </w:rPr>
        <w:t>–</w:t>
      </w:r>
      <w:r w:rsidR="00BE0417" w:rsidRPr="006663E2">
        <w:rPr>
          <w:rFonts w:ascii="Times New Roman" w:hAnsi="Times New Roman" w:cs="Times New Roman"/>
          <w:b/>
          <w:bCs/>
          <w:sz w:val="24"/>
          <w:szCs w:val="24"/>
          <w:lang w:val="en-GB"/>
        </w:rPr>
        <w:t xml:space="preserve"> </w:t>
      </w:r>
      <w:r w:rsidRPr="006663E2">
        <w:rPr>
          <w:rFonts w:ascii="Times New Roman" w:hAnsi="Times New Roman" w:cs="Times New Roman"/>
          <w:sz w:val="24"/>
          <w:szCs w:val="24"/>
          <w:lang w:val="en-GB"/>
        </w:rPr>
        <w:t xml:space="preserve">collection of qualitative and quantitative </w:t>
      </w:r>
      <w:r w:rsidR="005562D1" w:rsidRPr="006663E2">
        <w:rPr>
          <w:rFonts w:ascii="Times New Roman" w:hAnsi="Times New Roman" w:cs="Times New Roman"/>
          <w:sz w:val="24"/>
          <w:szCs w:val="24"/>
          <w:lang w:val="en-GB"/>
        </w:rPr>
        <w:t>information</w:t>
      </w:r>
      <w:r w:rsidRPr="006663E2">
        <w:rPr>
          <w:rFonts w:ascii="Times New Roman" w:hAnsi="Times New Roman" w:cs="Times New Roman"/>
          <w:sz w:val="24"/>
          <w:szCs w:val="24"/>
          <w:lang w:val="en-GB"/>
        </w:rPr>
        <w:t xml:space="preserve"> on the supply of goods, services, suppliers, goods supplied, services provided by them, and service prices, their analysis and preparation of general conclusions for making decisions on the funds needed for the procurement of the project</w:t>
      </w:r>
      <w:r w:rsidR="00C51403" w:rsidRPr="006663E2">
        <w:rPr>
          <w:rFonts w:ascii="Times New Roman" w:hAnsi="Times New Roman" w:cs="Times New Roman"/>
          <w:sz w:val="24"/>
          <w:szCs w:val="24"/>
          <w:lang w:val="en-GB"/>
        </w:rPr>
        <w:t>.</w:t>
      </w:r>
    </w:p>
    <w:p w14:paraId="5878DD17" w14:textId="77777777" w:rsidR="002171D6" w:rsidRPr="006663E2" w:rsidRDefault="00C90354"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sz w:val="24"/>
          <w:szCs w:val="24"/>
          <w:lang w:val="en-GB"/>
        </w:rPr>
        <w:t>Child</w:t>
      </w:r>
      <w:r w:rsidRPr="006663E2">
        <w:rPr>
          <w:rFonts w:ascii="Times New Roman" w:hAnsi="Times New Roman" w:cs="Times New Roman"/>
          <w:sz w:val="24"/>
          <w:szCs w:val="24"/>
          <w:lang w:val="en-GB"/>
        </w:rPr>
        <w:t xml:space="preserve"> - a person under 18 years of age;</w:t>
      </w:r>
    </w:p>
    <w:p w14:paraId="2832ECD4" w14:textId="7618ADBB" w:rsidR="00273FB4" w:rsidRPr="006663E2" w:rsidRDefault="00273FB4"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6663E2">
        <w:rPr>
          <w:rFonts w:ascii="Times New Roman" w:hAnsi="Times New Roman" w:cs="Times New Roman"/>
          <w:b/>
          <w:bCs/>
          <w:sz w:val="24"/>
          <w:szCs w:val="24"/>
          <w:lang w:val="en-GB"/>
        </w:rPr>
        <w:t xml:space="preserve">Donor States </w:t>
      </w:r>
      <w:r w:rsidRPr="006663E2">
        <w:rPr>
          <w:rFonts w:ascii="Times New Roman" w:hAnsi="Times New Roman" w:cs="Times New Roman"/>
          <w:sz w:val="24"/>
          <w:szCs w:val="24"/>
          <w:lang w:val="en-GB"/>
        </w:rPr>
        <w:t>– the Republic of Iceland, the Principality of Liechtenstein and the Kingdom of Norway.</w:t>
      </w:r>
      <w:r w:rsidRPr="006663E2">
        <w:rPr>
          <w:rFonts w:ascii="Times New Roman" w:hAnsi="Times New Roman" w:cs="Times New Roman"/>
          <w:b/>
          <w:bCs/>
          <w:sz w:val="24"/>
          <w:szCs w:val="24"/>
          <w:lang w:val="en-GB"/>
        </w:rPr>
        <w:t xml:space="preserve"> </w:t>
      </w:r>
    </w:p>
    <w:p w14:paraId="2BCDD759" w14:textId="1A0F9D63" w:rsidR="002171D6" w:rsidRPr="006663E2" w:rsidRDefault="002171D6" w:rsidP="00746C81">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110854C7">
        <w:rPr>
          <w:rFonts w:ascii="Times New Roman" w:hAnsi="Times New Roman" w:cs="Times New Roman"/>
          <w:b/>
          <w:bCs/>
          <w:sz w:val="24"/>
          <w:szCs w:val="24"/>
          <w:lang w:val="en-GB"/>
        </w:rPr>
        <w:t>Local specialists and / or service providers -</w:t>
      </w:r>
      <w:r w:rsidRPr="110854C7">
        <w:rPr>
          <w:rFonts w:ascii="Times New Roman" w:hAnsi="Times New Roman" w:cs="Times New Roman"/>
          <w:sz w:val="24"/>
          <w:szCs w:val="24"/>
          <w:lang w:val="en-GB"/>
        </w:rPr>
        <w:t xml:space="preserve"> child protection specialists, social workers, case managers, inter-institutional co-ordinators, social educators, psychologists, police officers, special educators, educational support specialists, educators of socialization centers and / or other professionals of those centers’ working directly with children.</w:t>
      </w:r>
    </w:p>
    <w:p w14:paraId="06691519" w14:textId="4E0ADC55" w:rsidR="00A71AFC" w:rsidRDefault="0F6882FB" w:rsidP="00A71AFC">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A71AFC">
        <w:rPr>
          <w:rFonts w:ascii="Times New Roman" w:hAnsi="Times New Roman" w:cs="Times New Roman"/>
          <w:b/>
          <w:bCs/>
          <w:sz w:val="24"/>
          <w:szCs w:val="24"/>
          <w:lang w:val="en-GB"/>
        </w:rPr>
        <w:t xml:space="preserve">Indicator </w:t>
      </w:r>
      <w:r w:rsidRPr="00A71AFC">
        <w:rPr>
          <w:rFonts w:ascii="Times New Roman" w:hAnsi="Times New Roman" w:cs="Times New Roman"/>
          <w:sz w:val="24"/>
          <w:szCs w:val="24"/>
          <w:lang w:val="en-GB"/>
        </w:rPr>
        <w:t xml:space="preserve">- a quantitative or qualitative variable that specifies what is to be measured along a scale or dimension. </w:t>
      </w:r>
    </w:p>
    <w:p w14:paraId="60CFCD4C" w14:textId="39A8BF7D" w:rsidR="00A71AFC" w:rsidRDefault="0F6882FB" w:rsidP="00A71AFC">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A71AFC">
        <w:rPr>
          <w:rFonts w:ascii="Times New Roman" w:hAnsi="Times New Roman" w:cs="Times New Roman"/>
          <w:b/>
          <w:bCs/>
          <w:sz w:val="24"/>
          <w:szCs w:val="24"/>
          <w:lang w:val="en-GB"/>
        </w:rPr>
        <w:t>Outcome</w:t>
      </w:r>
      <w:r w:rsidRPr="00A71AFC">
        <w:rPr>
          <w:rFonts w:ascii="Times New Roman" w:hAnsi="Times New Roman" w:cs="Times New Roman"/>
          <w:sz w:val="24"/>
          <w:szCs w:val="24"/>
          <w:lang w:val="en-GB"/>
        </w:rPr>
        <w:t xml:space="preserve"> - the (short and medium-term) effect of an intervention’s outputs on the intermediaries or end beneficiaries. </w:t>
      </w:r>
    </w:p>
    <w:p w14:paraId="7EEC4179" w14:textId="5DDEBDE2" w:rsidR="0F6882FB" w:rsidRPr="00A71AFC" w:rsidRDefault="0F6882FB" w:rsidP="00A71AFC">
      <w:pPr>
        <w:pStyle w:val="ListParagraph"/>
        <w:numPr>
          <w:ilvl w:val="1"/>
          <w:numId w:val="3"/>
        </w:numPr>
        <w:spacing w:after="120" w:line="240" w:lineRule="auto"/>
        <w:ind w:left="709" w:hanging="709"/>
        <w:jc w:val="both"/>
        <w:rPr>
          <w:rFonts w:ascii="Times New Roman" w:hAnsi="Times New Roman" w:cs="Times New Roman"/>
          <w:sz w:val="24"/>
          <w:szCs w:val="24"/>
          <w:lang w:val="en-GB"/>
        </w:rPr>
      </w:pPr>
      <w:r w:rsidRPr="00A71AFC">
        <w:rPr>
          <w:rFonts w:ascii="Times New Roman" w:hAnsi="Times New Roman" w:cs="Times New Roman"/>
          <w:b/>
          <w:bCs/>
          <w:sz w:val="24"/>
          <w:szCs w:val="24"/>
          <w:lang w:val="en-GB"/>
        </w:rPr>
        <w:t>Output</w:t>
      </w:r>
      <w:r w:rsidRPr="00A71AFC">
        <w:rPr>
          <w:rFonts w:ascii="Times New Roman" w:hAnsi="Times New Roman" w:cs="Times New Roman"/>
          <w:sz w:val="24"/>
          <w:szCs w:val="24"/>
          <w:lang w:val="en-GB"/>
        </w:rPr>
        <w:t xml:space="preserve"> - the products, capital goods and services delivered by a programme to the intermediaries.</w:t>
      </w:r>
    </w:p>
    <w:p w14:paraId="760EE1C1" w14:textId="3A5FB9A6" w:rsidR="002171D6" w:rsidRPr="006663E2" w:rsidRDefault="002171D6" w:rsidP="002171D6">
      <w:pPr>
        <w:pStyle w:val="ListParagraph"/>
        <w:numPr>
          <w:ilvl w:val="0"/>
          <w:numId w:val="3"/>
        </w:numPr>
        <w:jc w:val="both"/>
        <w:rPr>
          <w:rFonts w:ascii="Times New Roman" w:hAnsi="Times New Roman" w:cs="Times New Roman"/>
          <w:sz w:val="24"/>
          <w:szCs w:val="24"/>
          <w:lang w:val="en-GB" w:eastAsia="lt-LT"/>
        </w:rPr>
      </w:pPr>
      <w:bookmarkStart w:id="3" w:name="_Hlk17208186"/>
      <w:bookmarkEnd w:id="2"/>
      <w:r w:rsidRPr="006663E2">
        <w:rPr>
          <w:rFonts w:ascii="Times New Roman" w:hAnsi="Times New Roman" w:cs="Times New Roman"/>
          <w:sz w:val="24"/>
          <w:szCs w:val="24"/>
          <w:lang w:val="en-GB" w:eastAsia="lt-LT"/>
        </w:rPr>
        <w:t>Other terms used in the Guidelines shall be understood as they are defined in the legal acts specified in these Guidelines and the Description of Functions of the Authorities Responsible for the Management and Control of EEA and Norwegian Financial Mechanisms 2014-2021</w:t>
      </w:r>
      <w:r w:rsidR="007F2EFC" w:rsidRPr="006663E2">
        <w:rPr>
          <w:rFonts w:ascii="Times New Roman" w:hAnsi="Times New Roman" w:cs="Times New Roman"/>
          <w:sz w:val="24"/>
          <w:szCs w:val="24"/>
          <w:lang w:val="en-GB" w:eastAsia="lt-LT"/>
        </w:rPr>
        <w:t>, approved by the Minister of Finance or the Republic of Lithuania 12 November 2018 order No 1K-389 “On the implementation of 2014-2021 European Economic Area and Norwegian Financial Mechanisms in Lithuania”</w:t>
      </w:r>
      <w:r w:rsidRPr="006663E2">
        <w:rPr>
          <w:rFonts w:ascii="Times New Roman" w:hAnsi="Times New Roman" w:cs="Times New Roman"/>
          <w:sz w:val="24"/>
          <w:szCs w:val="24"/>
          <w:lang w:val="en-GB" w:eastAsia="lt-LT"/>
        </w:rPr>
        <w:t>.</w:t>
      </w:r>
    </w:p>
    <w:p w14:paraId="173700E4" w14:textId="5A1CB69C" w:rsidR="00936041" w:rsidRPr="006663E2" w:rsidRDefault="00936041" w:rsidP="002171D6">
      <w:pPr>
        <w:pStyle w:val="ListParagraph"/>
        <w:tabs>
          <w:tab w:val="left" w:pos="851"/>
        </w:tabs>
        <w:spacing w:after="120" w:line="240" w:lineRule="auto"/>
        <w:ind w:left="360"/>
        <w:jc w:val="both"/>
        <w:rPr>
          <w:rFonts w:ascii="Times New Roman" w:hAnsi="Times New Roman" w:cs="Times New Roman"/>
          <w:bCs/>
          <w:sz w:val="24"/>
          <w:szCs w:val="24"/>
          <w:lang w:val="en-GB"/>
        </w:rPr>
      </w:pPr>
    </w:p>
    <w:bookmarkEnd w:id="3"/>
    <w:p w14:paraId="2C8F5A3F" w14:textId="1054544C" w:rsidR="00A1114C" w:rsidRPr="006663E2" w:rsidRDefault="00FA3EA8" w:rsidP="00C540E2">
      <w:pPr>
        <w:pStyle w:val="ListParagraph"/>
        <w:numPr>
          <w:ilvl w:val="0"/>
          <w:numId w:val="1"/>
        </w:numPr>
        <w:spacing w:after="120" w:line="240" w:lineRule="auto"/>
        <w:jc w:val="center"/>
        <w:rPr>
          <w:rFonts w:ascii="Times New Roman" w:hAnsi="Times New Roman" w:cs="Times New Roman"/>
          <w:b/>
          <w:bCs/>
          <w:sz w:val="24"/>
          <w:szCs w:val="24"/>
          <w:lang w:val="en-GB"/>
        </w:rPr>
      </w:pPr>
      <w:r w:rsidRPr="006663E2">
        <w:rPr>
          <w:rFonts w:ascii="Times New Roman" w:hAnsi="Times New Roman" w:cs="Times New Roman"/>
          <w:b/>
          <w:bCs/>
          <w:caps/>
          <w:sz w:val="24"/>
          <w:szCs w:val="24"/>
          <w:lang w:val="en-GB" w:eastAsia="lt-LT"/>
        </w:rPr>
        <w:lastRenderedPageBreak/>
        <w:t>Objectives of the programme “</w:t>
      </w:r>
      <w:r w:rsidR="003B5CE1" w:rsidRPr="006663E2">
        <w:rPr>
          <w:rFonts w:ascii="Times New Roman" w:hAnsi="Times New Roman" w:cs="Times New Roman"/>
          <w:b/>
          <w:bCs/>
          <w:caps/>
          <w:sz w:val="24"/>
          <w:szCs w:val="24"/>
          <w:lang w:val="en-GB" w:eastAsia="lt-LT"/>
        </w:rPr>
        <w:t>HEALTH</w:t>
      </w:r>
      <w:r w:rsidRPr="006663E2">
        <w:rPr>
          <w:rFonts w:ascii="Times New Roman" w:hAnsi="Times New Roman" w:cs="Times New Roman"/>
          <w:b/>
          <w:bCs/>
          <w:caps/>
          <w:sz w:val="24"/>
          <w:szCs w:val="24"/>
          <w:lang w:val="en-GB" w:eastAsia="lt-LT"/>
        </w:rPr>
        <w:t>” and areas of support</w:t>
      </w:r>
    </w:p>
    <w:p w14:paraId="6A0C2D47" w14:textId="77777777" w:rsidR="005E6844" w:rsidRPr="006663E2" w:rsidRDefault="005E6844" w:rsidP="00C540E2">
      <w:pPr>
        <w:pStyle w:val="ListParagraph"/>
        <w:spacing w:after="120" w:line="240" w:lineRule="auto"/>
        <w:ind w:left="1080"/>
        <w:rPr>
          <w:rFonts w:ascii="Times New Roman" w:hAnsi="Times New Roman" w:cs="Times New Roman"/>
          <w:b/>
          <w:bCs/>
          <w:sz w:val="24"/>
          <w:szCs w:val="24"/>
          <w:lang w:val="en-GB"/>
        </w:rPr>
      </w:pPr>
    </w:p>
    <w:p w14:paraId="0301BC6F" w14:textId="77777777" w:rsidR="003B5CE1" w:rsidRPr="006663E2" w:rsidRDefault="00FA3EA8" w:rsidP="00C540E2">
      <w:pPr>
        <w:pStyle w:val="ListParagraph"/>
        <w:numPr>
          <w:ilvl w:val="0"/>
          <w:numId w:val="3"/>
        </w:numPr>
        <w:spacing w:after="120" w:line="240" w:lineRule="auto"/>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aim of the Programme is </w:t>
      </w:r>
      <w:r w:rsidR="003B5CE1" w:rsidRPr="006663E2">
        <w:rPr>
          <w:rFonts w:ascii="Times New Roman" w:hAnsi="Times New Roman" w:cs="Times New Roman"/>
          <w:sz w:val="24"/>
          <w:szCs w:val="24"/>
          <w:lang w:val="en-GB"/>
        </w:rPr>
        <w:t xml:space="preserve">improving prevention and reducing health inequalities. </w:t>
      </w:r>
    </w:p>
    <w:p w14:paraId="502600CD" w14:textId="2FFEF20A" w:rsidR="00816CF8" w:rsidRPr="006663E2" w:rsidRDefault="00273FB4" w:rsidP="00E1495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The Programme's open call</w:t>
      </w:r>
      <w:r w:rsidR="00A047A4" w:rsidRPr="006663E2">
        <w:rPr>
          <w:rFonts w:ascii="Times New Roman" w:hAnsi="Times New Roman" w:cs="Times New Roman"/>
          <w:sz w:val="24"/>
          <w:szCs w:val="24"/>
          <w:lang w:val="en-GB"/>
        </w:rPr>
        <w:t xml:space="preserve"> </w:t>
      </w:r>
      <w:r w:rsidR="00A047A4" w:rsidRPr="006663E2">
        <w:rPr>
          <w:rFonts w:ascii="Times New Roman" w:hAnsi="Times New Roman" w:cs="Times New Roman"/>
          <w:sz w:val="24"/>
          <w:szCs w:val="24"/>
          <w:lang w:val="en-GB" w:eastAsia="lt-LT"/>
        </w:rPr>
        <w:t>“Mechanisms of social inclusion strengthening for children and young people with high-risk behavio</w:t>
      </w:r>
      <w:r w:rsidR="006663E2" w:rsidRPr="006663E2">
        <w:rPr>
          <w:rFonts w:ascii="Times New Roman" w:hAnsi="Times New Roman" w:cs="Times New Roman"/>
          <w:sz w:val="24"/>
          <w:szCs w:val="24"/>
          <w:lang w:val="en-GB" w:eastAsia="lt-LT"/>
        </w:rPr>
        <w:t>u</w:t>
      </w:r>
      <w:r w:rsidR="00A047A4" w:rsidRPr="006663E2">
        <w:rPr>
          <w:rFonts w:ascii="Times New Roman" w:hAnsi="Times New Roman" w:cs="Times New Roman"/>
          <w:sz w:val="24"/>
          <w:szCs w:val="24"/>
          <w:lang w:val="en-GB" w:eastAsia="lt-LT"/>
        </w:rPr>
        <w:t>rs and / or from disadvantaged backgrounds</w:t>
      </w:r>
      <w:r w:rsidR="00A047A4"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(hereinafter – the Call) will aim to</w:t>
      </w:r>
      <w:r w:rsidR="00A047A4" w:rsidRPr="006663E2">
        <w:rPr>
          <w:lang w:val="en-GB"/>
        </w:rPr>
        <w:t xml:space="preserve"> </w:t>
      </w:r>
      <w:r w:rsidR="00A047A4" w:rsidRPr="006663E2">
        <w:rPr>
          <w:rFonts w:ascii="Times New Roman" w:hAnsi="Times New Roman" w:cs="Times New Roman"/>
          <w:sz w:val="24"/>
          <w:szCs w:val="24"/>
          <w:lang w:val="en-GB"/>
        </w:rPr>
        <w:t>develop and implement an effective qualit</w:t>
      </w:r>
      <w:r w:rsidR="00B614D5" w:rsidRPr="006663E2">
        <w:rPr>
          <w:rFonts w:ascii="Times New Roman" w:hAnsi="Times New Roman" w:cs="Times New Roman"/>
          <w:sz w:val="24"/>
          <w:szCs w:val="24"/>
          <w:lang w:val="en-GB"/>
        </w:rPr>
        <w:t>ative</w:t>
      </w:r>
      <w:r w:rsidR="00A047A4" w:rsidRPr="006663E2">
        <w:rPr>
          <w:rFonts w:ascii="Times New Roman" w:hAnsi="Times New Roman" w:cs="Times New Roman"/>
          <w:sz w:val="24"/>
          <w:szCs w:val="24"/>
          <w:lang w:val="en-GB"/>
        </w:rPr>
        <w:t xml:space="preserve"> system of methods and integrated services for vulnerable children and young people, thus ensuring the well-being of children and young people</w:t>
      </w:r>
      <w:r w:rsidRPr="006663E2">
        <w:rPr>
          <w:rFonts w:ascii="Times New Roman" w:hAnsi="Times New Roman" w:cs="Times New Roman"/>
          <w:sz w:val="24"/>
          <w:szCs w:val="24"/>
          <w:lang w:val="en-GB"/>
        </w:rPr>
        <w:t>.</w:t>
      </w:r>
    </w:p>
    <w:p w14:paraId="4D0A68B2" w14:textId="510F3739" w:rsidR="00816CF8" w:rsidRPr="006663E2" w:rsidRDefault="000E706C"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following are the </w:t>
      </w:r>
      <w:r w:rsidR="00290A60" w:rsidRPr="006663E2">
        <w:rPr>
          <w:rFonts w:ascii="Times New Roman" w:hAnsi="Times New Roman" w:cs="Times New Roman"/>
          <w:sz w:val="24"/>
          <w:szCs w:val="24"/>
          <w:lang w:val="en-GB"/>
        </w:rPr>
        <w:t>activities</w:t>
      </w:r>
      <w:r w:rsidRPr="006663E2">
        <w:rPr>
          <w:rFonts w:ascii="Times New Roman" w:hAnsi="Times New Roman" w:cs="Times New Roman"/>
          <w:sz w:val="24"/>
          <w:szCs w:val="24"/>
          <w:lang w:val="en-GB"/>
        </w:rPr>
        <w:t xml:space="preserve"> </w:t>
      </w:r>
      <w:r w:rsidR="00B614D5" w:rsidRPr="006663E2">
        <w:rPr>
          <w:rFonts w:ascii="Times New Roman" w:hAnsi="Times New Roman" w:cs="Times New Roman"/>
          <w:sz w:val="24"/>
          <w:szCs w:val="24"/>
          <w:lang w:val="en-GB"/>
        </w:rPr>
        <w:t>to be financed by the open call</w:t>
      </w:r>
      <w:r w:rsidR="007934B2" w:rsidRPr="006663E2">
        <w:rPr>
          <w:rFonts w:ascii="Times New Roman" w:hAnsi="Times New Roman" w:cs="Times New Roman"/>
          <w:sz w:val="24"/>
          <w:szCs w:val="24"/>
          <w:lang w:val="en-GB"/>
        </w:rPr>
        <w:t>:</w:t>
      </w:r>
    </w:p>
    <w:p w14:paraId="1FC9B569" w14:textId="3C554E21" w:rsidR="00273FB4" w:rsidRPr="006663E2" w:rsidRDefault="00B614D5" w:rsidP="00B614D5">
      <w:pPr>
        <w:pStyle w:val="ListParagraph"/>
        <w:numPr>
          <w:ilvl w:val="1"/>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implementation and application of new methodologies and / or new support mechanisms and / or new work models for children and / or young people from the selected target group(s) during the project implementation;</w:t>
      </w:r>
    </w:p>
    <w:p w14:paraId="18413079" w14:textId="1145BA75" w:rsidR="00273FB4" w:rsidRPr="006663E2" w:rsidRDefault="00B614D5" w:rsidP="00B614D5">
      <w:pPr>
        <w:pStyle w:val="ListParagraph"/>
        <w:numPr>
          <w:ilvl w:val="1"/>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acquisition of the necessary tools to implement and / or apply new methodologies and / or new support mechanisms and / or a new working model for children and / or young people from the selected target group(s);</w:t>
      </w:r>
      <w:r w:rsidR="00273FB4" w:rsidRPr="006663E2">
        <w:rPr>
          <w:rFonts w:ascii="Times New Roman" w:hAnsi="Times New Roman" w:cs="Times New Roman"/>
          <w:sz w:val="24"/>
          <w:szCs w:val="24"/>
          <w:lang w:val="en-GB"/>
        </w:rPr>
        <w:t xml:space="preserve"> </w:t>
      </w:r>
    </w:p>
    <w:p w14:paraId="4E647130" w14:textId="21698746" w:rsidR="00B614D5" w:rsidRPr="006663E2" w:rsidRDefault="00E14952" w:rsidP="00B614D5">
      <w:pPr>
        <w:pStyle w:val="ListParagraph"/>
        <w:numPr>
          <w:ilvl w:val="1"/>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simple repairs of</w:t>
      </w:r>
      <w:r w:rsidR="00B614D5" w:rsidRPr="006663E2">
        <w:rPr>
          <w:rFonts w:ascii="Times New Roman" w:hAnsi="Times New Roman" w:cs="Times New Roman"/>
          <w:sz w:val="24"/>
          <w:szCs w:val="24"/>
          <w:lang w:val="en-GB"/>
        </w:rPr>
        <w:t xml:space="preserve"> premises where new methodologies are implemented and / or applied, new support mechanisms, new work patterns for children and / or young people from the selected target group(s);</w:t>
      </w:r>
    </w:p>
    <w:p w14:paraId="5D85781A" w14:textId="687755D4" w:rsidR="00273FB4" w:rsidRPr="006663E2" w:rsidRDefault="00273FB4" w:rsidP="00B614D5">
      <w:pPr>
        <w:pStyle w:val="ListParagraph"/>
        <w:numPr>
          <w:ilvl w:val="1"/>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events, training, studies, surveys and the like that are necessary </w:t>
      </w:r>
      <w:r w:rsidR="00B614D5" w:rsidRPr="006663E2">
        <w:rPr>
          <w:rFonts w:ascii="Times New Roman" w:hAnsi="Times New Roman" w:cs="Times New Roman"/>
          <w:sz w:val="24"/>
          <w:szCs w:val="24"/>
          <w:lang w:val="en-GB"/>
        </w:rPr>
        <w:t>for the introduction and / or application of new methodologies, new support mechanisms, a new working model for children and young people from the selected target group(s)</w:t>
      </w:r>
      <w:r w:rsidR="00F441FB" w:rsidRPr="006663E2">
        <w:rPr>
          <w:rFonts w:ascii="Times New Roman" w:hAnsi="Times New Roman" w:cs="Times New Roman"/>
          <w:sz w:val="24"/>
          <w:szCs w:val="24"/>
          <w:lang w:val="en-GB"/>
        </w:rPr>
        <w:t>.</w:t>
      </w:r>
    </w:p>
    <w:p w14:paraId="5314C703" w14:textId="6E430062" w:rsidR="009407B4" w:rsidRPr="006663E2" w:rsidRDefault="000F3E30" w:rsidP="00C540E2">
      <w:pPr>
        <w:pStyle w:val="ListParagraph"/>
        <w:numPr>
          <w:ilvl w:val="0"/>
          <w:numId w:val="3"/>
        </w:numPr>
        <w:tabs>
          <w:tab w:val="left" w:pos="426"/>
          <w:tab w:val="left" w:pos="993"/>
          <w:tab w:val="left" w:pos="1134"/>
        </w:tabs>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EUR </w:t>
      </w:r>
      <w:r w:rsidR="00B614D5" w:rsidRPr="006663E2">
        <w:rPr>
          <w:rFonts w:ascii="Times New Roman" w:hAnsi="Times New Roman" w:cs="Times New Roman"/>
          <w:sz w:val="24"/>
          <w:szCs w:val="24"/>
          <w:lang w:val="en-GB"/>
        </w:rPr>
        <w:t>4 000 000.00</w:t>
      </w:r>
      <w:r w:rsidR="002016D2"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 xml:space="preserve">(of which EUR </w:t>
      </w:r>
      <w:r w:rsidR="00B614D5" w:rsidRPr="006663E2">
        <w:rPr>
          <w:rFonts w:ascii="Times New Roman" w:hAnsi="Times New Roman" w:cs="Times New Roman"/>
          <w:sz w:val="24"/>
          <w:szCs w:val="24"/>
          <w:lang w:val="en-GB"/>
        </w:rPr>
        <w:t>3 400 000.00</w:t>
      </w:r>
      <w:r w:rsidRPr="006663E2">
        <w:rPr>
          <w:rFonts w:ascii="Times New Roman" w:hAnsi="Times New Roman" w:cs="Times New Roman"/>
          <w:sz w:val="24"/>
          <w:szCs w:val="24"/>
          <w:lang w:val="en-GB"/>
        </w:rPr>
        <w:t xml:space="preserve"> from the Mechanism </w:t>
      </w:r>
      <w:r w:rsidR="00297B15" w:rsidRPr="006663E2">
        <w:rPr>
          <w:rFonts w:ascii="Times New Roman" w:hAnsi="Times New Roman" w:cs="Times New Roman"/>
          <w:sz w:val="24"/>
          <w:szCs w:val="24"/>
          <w:lang w:val="en-GB"/>
        </w:rPr>
        <w:t xml:space="preserve">Funds </w:t>
      </w:r>
      <w:r w:rsidRPr="006663E2">
        <w:rPr>
          <w:rFonts w:ascii="Times New Roman" w:hAnsi="Times New Roman" w:cs="Times New Roman"/>
          <w:sz w:val="24"/>
          <w:szCs w:val="24"/>
          <w:lang w:val="en-GB"/>
        </w:rPr>
        <w:t xml:space="preserve">and EUR </w:t>
      </w:r>
      <w:r w:rsidR="00B614D5" w:rsidRPr="006663E2">
        <w:rPr>
          <w:rFonts w:ascii="Times New Roman" w:hAnsi="Times New Roman" w:cs="Times New Roman"/>
          <w:sz w:val="24"/>
          <w:szCs w:val="24"/>
          <w:lang w:val="en-GB"/>
        </w:rPr>
        <w:t>600 000.00</w:t>
      </w:r>
      <w:r w:rsidRPr="006663E2">
        <w:rPr>
          <w:rFonts w:ascii="Times New Roman" w:hAnsi="Times New Roman" w:cs="Times New Roman"/>
          <w:sz w:val="24"/>
          <w:szCs w:val="24"/>
          <w:lang w:val="en-GB"/>
        </w:rPr>
        <w:t xml:space="preserve"> from the </w:t>
      </w:r>
      <w:r w:rsidR="006C6D84" w:rsidRPr="006663E2">
        <w:rPr>
          <w:rFonts w:ascii="Times New Roman" w:hAnsi="Times New Roman" w:cs="Times New Roman"/>
          <w:sz w:val="24"/>
          <w:szCs w:val="24"/>
          <w:lang w:val="en-GB"/>
        </w:rPr>
        <w:t xml:space="preserve">national </w:t>
      </w:r>
      <w:r w:rsidRPr="006663E2">
        <w:rPr>
          <w:rFonts w:ascii="Times New Roman" w:hAnsi="Times New Roman" w:cs="Times New Roman"/>
          <w:sz w:val="24"/>
          <w:szCs w:val="24"/>
          <w:lang w:val="en-GB"/>
        </w:rPr>
        <w:t xml:space="preserve">co-financing) </w:t>
      </w:r>
      <w:r w:rsidR="002016D2" w:rsidRPr="006663E2">
        <w:rPr>
          <w:rFonts w:ascii="Times New Roman" w:hAnsi="Times New Roman" w:cs="Times New Roman"/>
          <w:sz w:val="24"/>
          <w:szCs w:val="24"/>
          <w:lang w:val="en-GB"/>
        </w:rPr>
        <w:t>shall be allocated for the implementation of the projects under the call</w:t>
      </w:r>
      <w:r w:rsidR="004B726B">
        <w:rPr>
          <w:rFonts w:ascii="Times New Roman" w:hAnsi="Times New Roman" w:cs="Times New Roman"/>
          <w:sz w:val="24"/>
          <w:szCs w:val="24"/>
          <w:lang w:val="en-GB"/>
        </w:rPr>
        <w:t>.</w:t>
      </w:r>
      <w:r w:rsidR="002016D2" w:rsidRPr="006663E2">
        <w:rPr>
          <w:rFonts w:ascii="Times New Roman" w:hAnsi="Times New Roman" w:cs="Times New Roman"/>
          <w:sz w:val="24"/>
          <w:szCs w:val="24"/>
          <w:lang w:val="en-GB"/>
        </w:rPr>
        <w:t xml:space="preserve"> </w:t>
      </w:r>
    </w:p>
    <w:p w14:paraId="006BA714" w14:textId="02951F97" w:rsidR="002C7E75" w:rsidRPr="006663E2" w:rsidRDefault="002016D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All information on the Programme and the submission of Programme project applications is published online at</w:t>
      </w:r>
      <w:r w:rsidR="002C7E75" w:rsidRPr="006663E2">
        <w:rPr>
          <w:rFonts w:ascii="Times New Roman" w:hAnsi="Times New Roman" w:cs="Times New Roman"/>
          <w:sz w:val="24"/>
          <w:szCs w:val="24"/>
          <w:lang w:val="en-GB"/>
        </w:rPr>
        <w:t xml:space="preserve"> </w:t>
      </w:r>
      <w:bookmarkStart w:id="4" w:name="_Hlk18087541"/>
      <w:r w:rsidR="00BC3AF0" w:rsidRPr="006663E2">
        <w:rPr>
          <w:rFonts w:ascii="Times New Roman" w:hAnsi="Times New Roman" w:cs="Times New Roman"/>
          <w:sz w:val="24"/>
          <w:szCs w:val="24"/>
          <w:lang w:val="en-GB"/>
        </w:rPr>
        <w:fldChar w:fldCharType="begin"/>
      </w:r>
      <w:r w:rsidR="00BC3AF0" w:rsidRPr="006663E2">
        <w:rPr>
          <w:rFonts w:ascii="Times New Roman" w:hAnsi="Times New Roman" w:cs="Times New Roman"/>
          <w:sz w:val="24"/>
          <w:szCs w:val="24"/>
          <w:lang w:val="en-GB"/>
        </w:rPr>
        <w:instrText xml:space="preserve"> HYPERLINK "http://www.eeagrants.lt" </w:instrText>
      </w:r>
      <w:r w:rsidR="00BC3AF0" w:rsidRPr="006663E2">
        <w:rPr>
          <w:rFonts w:ascii="Times New Roman" w:hAnsi="Times New Roman" w:cs="Times New Roman"/>
          <w:sz w:val="24"/>
          <w:szCs w:val="24"/>
          <w:lang w:val="en-GB"/>
        </w:rPr>
        <w:fldChar w:fldCharType="separate"/>
      </w:r>
      <w:r w:rsidR="00BC3AF0" w:rsidRPr="006663E2">
        <w:rPr>
          <w:rStyle w:val="Hyperlink"/>
          <w:rFonts w:ascii="Times New Roman" w:hAnsi="Times New Roman" w:cs="Times New Roman"/>
          <w:color w:val="auto"/>
          <w:sz w:val="24"/>
          <w:szCs w:val="24"/>
          <w:lang w:val="en-GB"/>
        </w:rPr>
        <w:t>www.eeagrants.lt</w:t>
      </w:r>
      <w:r w:rsidR="00BC3AF0" w:rsidRPr="006663E2">
        <w:rPr>
          <w:rFonts w:ascii="Times New Roman" w:hAnsi="Times New Roman" w:cs="Times New Roman"/>
          <w:sz w:val="24"/>
          <w:szCs w:val="24"/>
          <w:lang w:val="en-GB"/>
        </w:rPr>
        <w:fldChar w:fldCharType="end"/>
      </w:r>
      <w:r w:rsidR="00BC3AF0"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and</w:t>
      </w:r>
      <w:r w:rsidR="00BC3AF0" w:rsidRPr="006663E2">
        <w:rPr>
          <w:rFonts w:ascii="Times New Roman" w:hAnsi="Times New Roman" w:cs="Times New Roman"/>
          <w:sz w:val="24"/>
          <w:szCs w:val="24"/>
          <w:lang w:val="en-GB"/>
        </w:rPr>
        <w:t xml:space="preserve"> </w:t>
      </w:r>
      <w:hyperlink r:id="rId11" w:history="1">
        <w:r w:rsidR="00BC3AF0" w:rsidRPr="006663E2">
          <w:rPr>
            <w:rStyle w:val="Hyperlink"/>
            <w:rFonts w:ascii="Times New Roman" w:hAnsi="Times New Roman" w:cs="Times New Roman"/>
            <w:color w:val="auto"/>
            <w:sz w:val="24"/>
            <w:szCs w:val="24"/>
            <w:lang w:val="en-GB"/>
          </w:rPr>
          <w:t>www.cpva.lt</w:t>
        </w:r>
      </w:hyperlink>
      <w:r w:rsidR="00BC3AF0" w:rsidRPr="006663E2">
        <w:rPr>
          <w:rFonts w:ascii="Times New Roman" w:hAnsi="Times New Roman" w:cs="Times New Roman"/>
          <w:sz w:val="24"/>
          <w:szCs w:val="24"/>
          <w:lang w:val="en-GB"/>
        </w:rPr>
        <w:t xml:space="preserve">. </w:t>
      </w:r>
      <w:bookmarkEnd w:id="4"/>
    </w:p>
    <w:p w14:paraId="7D286CE2" w14:textId="77777777" w:rsidR="00724313" w:rsidRPr="006663E2" w:rsidRDefault="00724313" w:rsidP="00C540E2">
      <w:pPr>
        <w:pStyle w:val="ListParagraph"/>
        <w:spacing w:after="120" w:line="240" w:lineRule="auto"/>
        <w:ind w:left="1080"/>
        <w:jc w:val="both"/>
        <w:rPr>
          <w:rFonts w:ascii="Times New Roman" w:hAnsi="Times New Roman" w:cs="Times New Roman"/>
          <w:b/>
          <w:bCs/>
          <w:sz w:val="24"/>
          <w:szCs w:val="24"/>
          <w:lang w:val="en-GB"/>
        </w:rPr>
      </w:pPr>
    </w:p>
    <w:p w14:paraId="28252526" w14:textId="07041DE2" w:rsidR="002C7E75" w:rsidRPr="006663E2" w:rsidRDefault="00DE2785"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6663E2">
        <w:rPr>
          <w:rFonts w:ascii="Times New Roman" w:hAnsi="Times New Roman" w:cs="Times New Roman"/>
          <w:b/>
          <w:bCs/>
          <w:caps/>
          <w:sz w:val="24"/>
          <w:szCs w:val="24"/>
          <w:lang w:val="en-GB"/>
        </w:rPr>
        <w:t xml:space="preserve">Eligible applicants, project partners and requirements for </w:t>
      </w:r>
      <w:r w:rsidR="00F70B3F" w:rsidRPr="006663E2">
        <w:rPr>
          <w:rFonts w:ascii="Times New Roman" w:hAnsi="Times New Roman" w:cs="Times New Roman"/>
          <w:b/>
          <w:bCs/>
          <w:caps/>
          <w:sz w:val="24"/>
          <w:szCs w:val="24"/>
          <w:lang w:val="en-GB"/>
        </w:rPr>
        <w:t xml:space="preserve">the </w:t>
      </w:r>
      <w:r w:rsidRPr="006663E2">
        <w:rPr>
          <w:rFonts w:ascii="Times New Roman" w:hAnsi="Times New Roman" w:cs="Times New Roman"/>
          <w:b/>
          <w:bCs/>
          <w:caps/>
          <w:sz w:val="24"/>
          <w:szCs w:val="24"/>
          <w:lang w:val="en-GB"/>
        </w:rPr>
        <w:t>partnership agreement</w:t>
      </w:r>
      <w:r w:rsidR="002C7E75" w:rsidRPr="006663E2">
        <w:rPr>
          <w:rFonts w:ascii="Times New Roman" w:hAnsi="Times New Roman" w:cs="Times New Roman"/>
          <w:b/>
          <w:bCs/>
          <w:caps/>
          <w:sz w:val="24"/>
          <w:szCs w:val="24"/>
          <w:lang w:val="en-GB"/>
        </w:rPr>
        <w:t xml:space="preserve"> </w:t>
      </w:r>
    </w:p>
    <w:p w14:paraId="43FB2571" w14:textId="77777777" w:rsidR="00936041" w:rsidRPr="006663E2" w:rsidRDefault="00936041" w:rsidP="00C540E2">
      <w:pPr>
        <w:pStyle w:val="ListParagraph"/>
        <w:spacing w:after="120" w:line="240" w:lineRule="auto"/>
        <w:ind w:left="1080"/>
        <w:rPr>
          <w:rFonts w:ascii="Times New Roman" w:hAnsi="Times New Roman" w:cs="Times New Roman"/>
          <w:b/>
          <w:bCs/>
          <w:caps/>
          <w:sz w:val="24"/>
          <w:szCs w:val="24"/>
          <w:lang w:val="en-GB"/>
        </w:rPr>
      </w:pPr>
    </w:p>
    <w:p w14:paraId="63B13F08" w14:textId="1BA87ACD" w:rsidR="0012370B" w:rsidRPr="006663E2" w:rsidRDefault="0012370B"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Potential Applicants are </w:t>
      </w:r>
      <w:r w:rsidR="00EB686E" w:rsidRPr="006663E2">
        <w:rPr>
          <w:rFonts w:ascii="Times New Roman" w:hAnsi="Times New Roman" w:cs="Times New Roman"/>
          <w:sz w:val="24"/>
          <w:szCs w:val="24"/>
          <w:lang w:val="en-GB"/>
        </w:rPr>
        <w:t xml:space="preserve">Lithuanian Republic </w:t>
      </w:r>
      <w:r w:rsidR="00431141" w:rsidRPr="006663E2">
        <w:rPr>
          <w:rFonts w:ascii="Times New Roman" w:hAnsi="Times New Roman" w:cs="Times New Roman"/>
          <w:sz w:val="24"/>
          <w:szCs w:val="24"/>
          <w:lang w:val="en-GB"/>
        </w:rPr>
        <w:t xml:space="preserve">legal persons. </w:t>
      </w:r>
    </w:p>
    <w:p w14:paraId="23C71704" w14:textId="13ABE7B0" w:rsidR="00431141" w:rsidRPr="006663E2" w:rsidRDefault="0012370B" w:rsidP="005B041D">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Project Partners</w:t>
      </w:r>
      <w:r w:rsidR="00EB686E" w:rsidRPr="006663E2">
        <w:rPr>
          <w:rFonts w:ascii="Times New Roman" w:hAnsi="Times New Roman" w:cs="Times New Roman"/>
          <w:sz w:val="24"/>
          <w:szCs w:val="24"/>
          <w:lang w:val="en-GB"/>
        </w:rPr>
        <w:t xml:space="preserve"> are </w:t>
      </w:r>
      <w:r w:rsidR="00B54A53" w:rsidRPr="006663E2">
        <w:rPr>
          <w:rFonts w:ascii="Times New Roman" w:hAnsi="Times New Roman" w:cs="Times New Roman"/>
          <w:sz w:val="24"/>
          <w:szCs w:val="24"/>
          <w:lang w:val="en-GB"/>
        </w:rPr>
        <w:t>Lithuanian Republic and Donor S</w:t>
      </w:r>
      <w:r w:rsidR="003B3C5C" w:rsidRPr="006663E2">
        <w:rPr>
          <w:rFonts w:ascii="Times New Roman" w:hAnsi="Times New Roman" w:cs="Times New Roman"/>
          <w:sz w:val="24"/>
          <w:szCs w:val="24"/>
          <w:lang w:val="en-GB"/>
        </w:rPr>
        <w:t xml:space="preserve">tate </w:t>
      </w:r>
      <w:r w:rsidR="00431141" w:rsidRPr="006663E2">
        <w:rPr>
          <w:rFonts w:ascii="Times New Roman" w:hAnsi="Times New Roman" w:cs="Times New Roman"/>
          <w:sz w:val="24"/>
          <w:szCs w:val="24"/>
          <w:lang w:val="en-GB"/>
        </w:rPr>
        <w:t xml:space="preserve">legal persons. </w:t>
      </w:r>
    </w:p>
    <w:p w14:paraId="0759DED3" w14:textId="0EF33864" w:rsidR="00816CF8" w:rsidRPr="006663E2" w:rsidRDefault="00DE2785" w:rsidP="005B041D">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In this call, the same </w:t>
      </w:r>
      <w:r w:rsidR="0076591F" w:rsidRPr="006663E2">
        <w:rPr>
          <w:rFonts w:ascii="Times New Roman" w:hAnsi="Times New Roman" w:cs="Times New Roman"/>
          <w:sz w:val="24"/>
          <w:szCs w:val="24"/>
          <w:lang w:val="en-GB"/>
        </w:rPr>
        <w:t>institution</w:t>
      </w:r>
      <w:r w:rsidRPr="006663E2">
        <w:rPr>
          <w:rFonts w:ascii="Times New Roman" w:hAnsi="Times New Roman" w:cs="Times New Roman"/>
          <w:sz w:val="24"/>
          <w:szCs w:val="24"/>
          <w:lang w:val="en-GB"/>
        </w:rPr>
        <w:t xml:space="preserve"> can submit one application only</w:t>
      </w:r>
      <w:r w:rsidR="0076591F" w:rsidRPr="006663E2">
        <w:rPr>
          <w:rFonts w:ascii="Times New Roman" w:hAnsi="Times New Roman" w:cs="Times New Roman"/>
          <w:sz w:val="24"/>
          <w:szCs w:val="24"/>
          <w:lang w:val="en-GB"/>
        </w:rPr>
        <w:t xml:space="preserve"> as an Applicant</w:t>
      </w:r>
      <w:r w:rsidRPr="006663E2">
        <w:rPr>
          <w:rFonts w:ascii="Times New Roman" w:hAnsi="Times New Roman" w:cs="Times New Roman"/>
          <w:sz w:val="24"/>
          <w:szCs w:val="24"/>
          <w:lang w:val="en-GB"/>
        </w:rPr>
        <w:t xml:space="preserve">. Should an </w:t>
      </w:r>
      <w:r w:rsidR="0076591F"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pplicant submit more than one application, the first submitted application only shall be assessed (based on the date and time of its submission), and all other applications shall be rejected</w:t>
      </w:r>
      <w:r w:rsidR="004A3F44" w:rsidRPr="006663E2">
        <w:rPr>
          <w:rFonts w:ascii="Times New Roman" w:hAnsi="Times New Roman" w:cs="Times New Roman"/>
          <w:sz w:val="24"/>
          <w:szCs w:val="24"/>
          <w:lang w:val="en-GB"/>
        </w:rPr>
        <w:t xml:space="preserve">. </w:t>
      </w:r>
      <w:bookmarkStart w:id="5" w:name="_Hlk18087679"/>
    </w:p>
    <w:p w14:paraId="5BCEDB12" w14:textId="29335FC4" w:rsidR="003E1E22" w:rsidRPr="006663E2" w:rsidRDefault="003E1E2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The number of project partners is unlimited.</w:t>
      </w:r>
    </w:p>
    <w:p w14:paraId="621B450F" w14:textId="73FC0793" w:rsidR="003E1E22" w:rsidRPr="006663E2" w:rsidRDefault="003E1E2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 The same legal entity may participate as a partner in several projects, but only in one project as an </w:t>
      </w:r>
      <w:r w:rsidR="00926C83"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pplicant.</w:t>
      </w:r>
    </w:p>
    <w:p w14:paraId="2320C7AA" w14:textId="0326E12B" w:rsidR="003E1E22" w:rsidRPr="006663E2" w:rsidRDefault="005E5E21"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benefits and contribution </w:t>
      </w:r>
      <w:r w:rsidR="003E1E22" w:rsidRPr="006663E2">
        <w:rPr>
          <w:rFonts w:ascii="Times New Roman" w:hAnsi="Times New Roman" w:cs="Times New Roman"/>
          <w:sz w:val="24"/>
          <w:szCs w:val="24"/>
          <w:lang w:val="en-GB"/>
        </w:rPr>
        <w:t xml:space="preserve">of a Partner (-s) in the project shall be substantiated in the project application. The Applicant shall choose as partners solely those legal and natural </w:t>
      </w:r>
      <w:r w:rsidR="009D46B6" w:rsidRPr="006663E2">
        <w:rPr>
          <w:rFonts w:ascii="Times New Roman" w:hAnsi="Times New Roman" w:cs="Times New Roman"/>
          <w:sz w:val="24"/>
          <w:szCs w:val="24"/>
          <w:lang w:val="en-GB"/>
        </w:rPr>
        <w:t xml:space="preserve">persons </w:t>
      </w:r>
      <w:r w:rsidR="003E1E22" w:rsidRPr="006663E2">
        <w:rPr>
          <w:rFonts w:ascii="Times New Roman" w:hAnsi="Times New Roman" w:cs="Times New Roman"/>
          <w:sz w:val="24"/>
          <w:szCs w:val="24"/>
          <w:lang w:val="en-GB"/>
        </w:rPr>
        <w:t>(where applicable), who will make an actual contribution to the activities of the project and / or will actively use the results created in the course of the project. The Applicant shall assess the necessity of the Partner (-s) for the project and the related management difficulties.</w:t>
      </w:r>
    </w:p>
    <w:p w14:paraId="1141D3C7" w14:textId="77777777" w:rsidR="003E1E22" w:rsidRPr="006663E2" w:rsidRDefault="003E1E2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A draft partnership agreement (or where a partnership agreement has been signed before the submission of an application - a copy of the signed agreement) or a letter of intent to conclude such an agreement shall be submitted along with the application. One partnership agreement may be concluded with all Project Partners or a separate partnership agreement (-s) may be concluded with each individual Project Partner (-s). A draft partnership agreement or a letter of intent shall be submitted in English, if a partner from a Donor State is at least one party to the partnership agreement or the letter of intent.</w:t>
      </w:r>
    </w:p>
    <w:p w14:paraId="5A79987F" w14:textId="77777777" w:rsidR="00830716" w:rsidRPr="006663E2" w:rsidRDefault="00830716" w:rsidP="00C540E2">
      <w:pPr>
        <w:pStyle w:val="ListParagraph"/>
        <w:numPr>
          <w:ilvl w:val="0"/>
          <w:numId w:val="3"/>
        </w:numPr>
        <w:spacing w:after="120" w:line="240" w:lineRule="auto"/>
        <w:jc w:val="both"/>
        <w:rPr>
          <w:rStyle w:val="Hyperlink"/>
          <w:rFonts w:ascii="Times New Roman" w:hAnsi="Times New Roman" w:cs="Times New Roman"/>
          <w:color w:val="auto"/>
          <w:sz w:val="24"/>
          <w:szCs w:val="24"/>
          <w:lang w:val="en-GB"/>
        </w:rPr>
      </w:pPr>
      <w:r w:rsidRPr="006663E2">
        <w:rPr>
          <w:rFonts w:ascii="Times New Roman" w:hAnsi="Times New Roman" w:cs="Times New Roman"/>
          <w:sz w:val="24"/>
          <w:szCs w:val="24"/>
          <w:lang w:val="en-GB"/>
        </w:rPr>
        <w:lastRenderedPageBreak/>
        <w:t xml:space="preserve">The template of the partnership agreement in English is available online: </w:t>
      </w:r>
      <w:r w:rsidRPr="006663E2">
        <w:rPr>
          <w:rFonts w:ascii="Times New Roman" w:hAnsi="Times New Roman" w:cs="Times New Roman"/>
          <w:sz w:val="24"/>
          <w:szCs w:val="24"/>
          <w:u w:val="single"/>
          <w:lang w:val="en-GB"/>
        </w:rPr>
        <w:fldChar w:fldCharType="begin"/>
      </w:r>
      <w:r w:rsidRPr="006663E2">
        <w:rPr>
          <w:rFonts w:ascii="Times New Roman" w:hAnsi="Times New Roman" w:cs="Times New Roman"/>
          <w:sz w:val="24"/>
          <w:szCs w:val="24"/>
          <w:u w:val="single"/>
          <w:lang w:val="en-GB"/>
        </w:rPr>
        <w:instrText xml:space="preserve"> HYPERLINK "https://eeagrants.org/resources/2014-2021-bilateral-guideline-annex-6-partnership-agreement-template" </w:instrText>
      </w:r>
      <w:r w:rsidRPr="006663E2">
        <w:rPr>
          <w:rFonts w:ascii="Times New Roman" w:hAnsi="Times New Roman" w:cs="Times New Roman"/>
          <w:sz w:val="24"/>
          <w:szCs w:val="24"/>
          <w:u w:val="single"/>
          <w:lang w:val="en-GB"/>
        </w:rPr>
        <w:fldChar w:fldCharType="separate"/>
      </w:r>
      <w:r w:rsidRPr="006663E2">
        <w:rPr>
          <w:rStyle w:val="Hyperlink"/>
          <w:rFonts w:ascii="Times New Roman" w:hAnsi="Times New Roman" w:cs="Times New Roman"/>
          <w:color w:val="auto"/>
          <w:sz w:val="24"/>
          <w:szCs w:val="24"/>
          <w:lang w:val="en-GB"/>
        </w:rPr>
        <w:t xml:space="preserve">https://eeagrants.org/resources/2014-2021-bilateral-guideline-annex-6-partnership-agreement-template. </w:t>
      </w:r>
    </w:p>
    <w:p w14:paraId="10F30AF4" w14:textId="416D3897" w:rsidR="003E1E22" w:rsidRPr="006663E2" w:rsidRDefault="00830716"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u w:val="single"/>
          <w:lang w:val="en-GB"/>
        </w:rPr>
        <w:fldChar w:fldCharType="end"/>
      </w:r>
      <w:r w:rsidR="003E1E22" w:rsidRPr="006663E2">
        <w:rPr>
          <w:rFonts w:ascii="Times New Roman" w:hAnsi="Times New Roman" w:cs="Times New Roman"/>
          <w:sz w:val="24"/>
          <w:szCs w:val="24"/>
          <w:lang w:val="en-GB"/>
        </w:rPr>
        <w:t xml:space="preserve">Where a copy of a draft partnership agreement or a signed partnership agreement is submitted along with the application, </w:t>
      </w:r>
      <w:r w:rsidR="00DC7128" w:rsidRPr="006663E2">
        <w:rPr>
          <w:rFonts w:ascii="Times New Roman" w:hAnsi="Times New Roman" w:cs="Times New Roman"/>
          <w:sz w:val="24"/>
          <w:szCs w:val="24"/>
          <w:lang w:val="en-GB"/>
        </w:rPr>
        <w:t xml:space="preserve">it shall include </w:t>
      </w:r>
      <w:r w:rsidR="003E1E22" w:rsidRPr="006663E2">
        <w:rPr>
          <w:rFonts w:ascii="Times New Roman" w:hAnsi="Times New Roman" w:cs="Times New Roman"/>
          <w:sz w:val="24"/>
          <w:szCs w:val="24"/>
          <w:lang w:val="en-GB"/>
        </w:rPr>
        <w:t>the following conditions:</w:t>
      </w:r>
    </w:p>
    <w:p w14:paraId="56F7F181" w14:textId="77777777" w:rsidR="003E1E22" w:rsidRPr="006663E2" w:rsidRDefault="003E1E22" w:rsidP="00C540E2">
      <w:pPr>
        <w:pStyle w:val="ListParagraph"/>
        <w:numPr>
          <w:ilvl w:val="1"/>
          <w:numId w:val="3"/>
        </w:numPr>
        <w:tabs>
          <w:tab w:val="left" w:pos="993"/>
        </w:tabs>
        <w:spacing w:after="120" w:line="240" w:lineRule="auto"/>
        <w:ind w:left="993" w:hanging="567"/>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Purpose of the agreement, distribution of tasks between the Applicant and the Partner (-s) in the implementation of the project;</w:t>
      </w:r>
    </w:p>
    <w:p w14:paraId="00F8CAEB" w14:textId="72FA2AE8" w:rsidR="003E1E22" w:rsidRPr="006663E2" w:rsidRDefault="003E1E22" w:rsidP="00C540E2">
      <w:pPr>
        <w:pStyle w:val="ListParagraph"/>
        <w:numPr>
          <w:ilvl w:val="1"/>
          <w:numId w:val="3"/>
        </w:numPr>
        <w:tabs>
          <w:tab w:val="left" w:pos="993"/>
        </w:tabs>
        <w:spacing w:after="120" w:line="240" w:lineRule="auto"/>
        <w:ind w:left="993" w:hanging="567"/>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Detailed budget of the project, distribution of costs between the Applicant and the Partner (-s), procedure of covering costs of the Partner (-s)</w:t>
      </w:r>
      <w:r w:rsidR="00534309" w:rsidRPr="006663E2">
        <w:rPr>
          <w:rFonts w:ascii="Times New Roman" w:hAnsi="Times New Roman" w:cs="Times New Roman"/>
          <w:sz w:val="24"/>
          <w:szCs w:val="24"/>
          <w:lang w:val="en-GB"/>
        </w:rPr>
        <w:t>, including provisions on the applicable exchange rate if the costs are incurred in a currency other than the euro (in any case, exchange losses are ineligible costs for the project)</w:t>
      </w:r>
      <w:r w:rsidRPr="006663E2">
        <w:rPr>
          <w:rFonts w:ascii="Times New Roman" w:hAnsi="Times New Roman" w:cs="Times New Roman"/>
          <w:sz w:val="24"/>
          <w:szCs w:val="24"/>
          <w:lang w:val="en-GB"/>
        </w:rPr>
        <w:t>;</w:t>
      </w:r>
    </w:p>
    <w:p w14:paraId="638D3FCF" w14:textId="77777777" w:rsidR="003E1E22" w:rsidRPr="006663E2" w:rsidRDefault="003E1E22" w:rsidP="00C540E2">
      <w:pPr>
        <w:pStyle w:val="ListParagraph"/>
        <w:numPr>
          <w:ilvl w:val="1"/>
          <w:numId w:val="3"/>
        </w:numPr>
        <w:tabs>
          <w:tab w:val="left" w:pos="993"/>
        </w:tabs>
        <w:spacing w:after="120" w:line="240" w:lineRule="auto"/>
        <w:ind w:left="993" w:hanging="567"/>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Provisions on the method of calculation of indirect costs (possible methods are set out in clause 276 of the MAFR) and the maximum possible sum of indirect costs;</w:t>
      </w:r>
    </w:p>
    <w:p w14:paraId="708D2ABD" w14:textId="77777777" w:rsidR="003E1E22" w:rsidRPr="006663E2" w:rsidRDefault="003E1E22" w:rsidP="00C540E2">
      <w:pPr>
        <w:pStyle w:val="ListParagraph"/>
        <w:numPr>
          <w:ilvl w:val="1"/>
          <w:numId w:val="3"/>
        </w:numPr>
        <w:tabs>
          <w:tab w:val="left" w:pos="993"/>
        </w:tabs>
        <w:spacing w:after="120" w:line="240" w:lineRule="auto"/>
        <w:ind w:left="993" w:hanging="567"/>
        <w:contextualSpacing w:val="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Provisions governing the procedure of covering costs incurred by a Project Partner (-s) from a Donor State. Pursuant to clauses 290 and 292 of the MAFR, to account for its costs, a Project Partner from a Donor State may present the following to the Project Promoter:</w:t>
      </w:r>
    </w:p>
    <w:p w14:paraId="72AD8CC4" w14:textId="77777777" w:rsidR="003E1E22" w:rsidRPr="006663E2" w:rsidRDefault="003E1E22" w:rsidP="00C540E2">
      <w:pPr>
        <w:pStyle w:val="ListParagraph"/>
        <w:numPr>
          <w:ilvl w:val="2"/>
          <w:numId w:val="3"/>
        </w:numPr>
        <w:spacing w:after="120" w:line="240" w:lineRule="auto"/>
        <w:ind w:left="1418" w:hanging="698"/>
        <w:contextualSpacing w:val="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Copies of documents substantiating costs and proof of their payment, or </w:t>
      </w:r>
    </w:p>
    <w:p w14:paraId="06FE4201" w14:textId="1620C8F5" w:rsidR="003E1E22" w:rsidRPr="006663E2" w:rsidRDefault="003E1E22" w:rsidP="00C540E2">
      <w:pPr>
        <w:pStyle w:val="ListParagraph"/>
        <w:numPr>
          <w:ilvl w:val="2"/>
          <w:numId w:val="3"/>
        </w:numPr>
        <w:spacing w:after="120" w:line="240" w:lineRule="auto"/>
        <w:ind w:left="1418" w:hanging="698"/>
        <w:contextualSpacing w:val="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If a Project Partner from a Donor State is a public authority or institution having a competent official who is entitled to audit the respective entity and whose independence in the preparation of financial statements is ensured, such a Project Partner may submit with each payment request declaring the costs incurred thereby a </w:t>
      </w:r>
      <w:r w:rsidR="0058193A" w:rsidRPr="006663E2">
        <w:rPr>
          <w:rFonts w:ascii="Times New Roman" w:hAnsi="Times New Roman" w:cs="Times New Roman"/>
          <w:sz w:val="24"/>
          <w:szCs w:val="24"/>
          <w:lang w:val="en-GB"/>
        </w:rPr>
        <w:t xml:space="preserve">report </w:t>
      </w:r>
      <w:r w:rsidRPr="006663E2">
        <w:rPr>
          <w:rFonts w:ascii="Times New Roman" w:hAnsi="Times New Roman" w:cs="Times New Roman"/>
          <w:sz w:val="24"/>
          <w:szCs w:val="24"/>
          <w:lang w:val="en-GB"/>
        </w:rPr>
        <w:t>signed by the said competent official regarding the eligibility of the costs for financing (according to the form prepared by the Process Working Group confirming that the costs indicated in the conclusion on the eligibility of the costs for financing have been incurred in accordance with the Regulation, national legislation and accounting practices in the partner country</w:t>
      </w:r>
      <w:r w:rsidR="00534309" w:rsidRPr="006663E2">
        <w:rPr>
          <w:rFonts w:ascii="Times New Roman" w:hAnsi="Times New Roman" w:cs="Times New Roman"/>
          <w:sz w:val="24"/>
          <w:szCs w:val="24"/>
          <w:lang w:val="en-GB"/>
        </w:rPr>
        <w:t>;</w:t>
      </w:r>
    </w:p>
    <w:p w14:paraId="6336CB25" w14:textId="0BD00E12" w:rsidR="003E1E22" w:rsidRPr="006663E2" w:rsidRDefault="003E1E22" w:rsidP="00C540E2">
      <w:pPr>
        <w:pStyle w:val="ListParagraph"/>
        <w:numPr>
          <w:ilvl w:val="2"/>
          <w:numId w:val="3"/>
        </w:numPr>
        <w:spacing w:after="120" w:line="240" w:lineRule="auto"/>
        <w:ind w:left="1418" w:hanging="698"/>
        <w:contextualSpacing w:val="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If a Project Partner from a Donor State is not a public authority or institution and / or does not have a competent official, who is entitled to audit the respective entity and / or whose independence in the preparation of financial statements is not ensured, such a Project Partner may submit with each payment request declaring the costs incurred thereby a declaration of costs of the partner (in the form prepared by the Process Working Group) confirming that the costs specified in the declaration of costs have been incurred in accordance with the Regulation, national legislation and accounting practices in the project partner’s country. Such a declaration of project partner’s costs shall additionally be signed by a Project Promoter’s representative, certifying that the Project Partner has completed the activities, provided the services, and the Project </w:t>
      </w:r>
      <w:r w:rsidRPr="009048BB">
        <w:rPr>
          <w:rFonts w:ascii="Times New Roman" w:hAnsi="Times New Roman" w:cs="Times New Roman"/>
          <w:sz w:val="24"/>
          <w:szCs w:val="24"/>
          <w:lang w:val="en-GB"/>
        </w:rPr>
        <w:t>Promoter is satisfied with the result, while the expenses incurred are in line with the project budget. If the</w:t>
      </w:r>
      <w:r w:rsidRPr="006663E2">
        <w:rPr>
          <w:rFonts w:ascii="Times New Roman" w:hAnsi="Times New Roman" w:cs="Times New Roman"/>
          <w:sz w:val="24"/>
          <w:szCs w:val="24"/>
          <w:lang w:val="en-GB"/>
        </w:rPr>
        <w:t xml:space="preserve"> total costs incurred by the Project Partner from a Donor State throughout the entire period of implementation of the project exceed EUR 10 000 (except for expenses, which have been paid in a simplified procedure, at a </w:t>
      </w:r>
      <w:r w:rsidR="00AE0B40" w:rsidRPr="006663E2">
        <w:rPr>
          <w:rFonts w:ascii="Times New Roman" w:hAnsi="Times New Roman" w:cs="Times New Roman"/>
          <w:sz w:val="24"/>
          <w:szCs w:val="24"/>
          <w:lang w:val="en-GB"/>
        </w:rPr>
        <w:t>unit cost</w:t>
      </w:r>
      <w:r w:rsidRPr="006663E2">
        <w:rPr>
          <w:rFonts w:ascii="Times New Roman" w:hAnsi="Times New Roman" w:cs="Times New Roman"/>
          <w:sz w:val="24"/>
          <w:szCs w:val="24"/>
          <w:lang w:val="en-GB"/>
        </w:rPr>
        <w:t xml:space="preserve"> and / or a flat rate), a </w:t>
      </w:r>
      <w:r w:rsidR="0058193A" w:rsidRPr="006663E2">
        <w:rPr>
          <w:rFonts w:ascii="Times New Roman" w:hAnsi="Times New Roman" w:cs="Times New Roman"/>
          <w:sz w:val="24"/>
          <w:szCs w:val="24"/>
          <w:lang w:val="en-GB"/>
        </w:rPr>
        <w:t xml:space="preserve">report </w:t>
      </w:r>
      <w:r w:rsidRPr="006663E2">
        <w:rPr>
          <w:rFonts w:ascii="Times New Roman" w:hAnsi="Times New Roman" w:cs="Times New Roman"/>
          <w:sz w:val="24"/>
          <w:szCs w:val="24"/>
          <w:lang w:val="en-GB"/>
        </w:rPr>
        <w:t xml:space="preserve">regarding the eligibility of costs (in the form prepared by the Process Working Group) signed by an independent auditor shall be submitted along with the final payment request for all costs incurred by the Project Partner. In such a case, a draft partnership agreement (a signed partnership agreement) shall also indicate which </w:t>
      </w:r>
      <w:r w:rsidR="007C5C77" w:rsidRPr="006663E2">
        <w:rPr>
          <w:rFonts w:ascii="Times New Roman" w:hAnsi="Times New Roman" w:cs="Times New Roman"/>
          <w:sz w:val="24"/>
          <w:szCs w:val="24"/>
          <w:lang w:val="en-GB"/>
        </w:rPr>
        <w:t xml:space="preserve">party of the partnership agreement </w:t>
      </w:r>
      <w:r w:rsidR="00833B45" w:rsidRPr="006663E2">
        <w:rPr>
          <w:rFonts w:ascii="Times New Roman" w:hAnsi="Times New Roman" w:cs="Times New Roman"/>
          <w:sz w:val="24"/>
          <w:szCs w:val="24"/>
          <w:lang w:val="en-GB"/>
        </w:rPr>
        <w:t xml:space="preserve">(Project Promoter or Donor Project Partner) </w:t>
      </w:r>
      <w:r w:rsidRPr="006663E2">
        <w:rPr>
          <w:rFonts w:ascii="Times New Roman" w:hAnsi="Times New Roman" w:cs="Times New Roman"/>
          <w:sz w:val="24"/>
          <w:szCs w:val="24"/>
          <w:lang w:val="en-GB"/>
        </w:rPr>
        <w:t xml:space="preserve">shall be the buyer of and the payer for the services of audit of costs of a </w:t>
      </w:r>
      <w:r w:rsidR="00833B45" w:rsidRPr="006663E2">
        <w:rPr>
          <w:rFonts w:ascii="Times New Roman" w:hAnsi="Times New Roman" w:cs="Times New Roman"/>
          <w:sz w:val="24"/>
          <w:szCs w:val="24"/>
          <w:lang w:val="en-GB"/>
        </w:rPr>
        <w:t xml:space="preserve">Donor </w:t>
      </w:r>
      <w:r w:rsidRPr="006663E2">
        <w:rPr>
          <w:rFonts w:ascii="Times New Roman" w:hAnsi="Times New Roman" w:cs="Times New Roman"/>
          <w:sz w:val="24"/>
          <w:szCs w:val="24"/>
          <w:lang w:val="en-GB"/>
        </w:rPr>
        <w:t>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with accounting principles.</w:t>
      </w:r>
    </w:p>
    <w:p w14:paraId="4A376A2F" w14:textId="04071C21" w:rsidR="00E97D0B" w:rsidRPr="006663E2" w:rsidRDefault="003E1E22"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lastRenderedPageBreak/>
        <w:t>The provision that the amount of costs incurred shall be denominated in the euro in the declaration of costs and / or the conclusion on the eligibility of costs. Where costs have been incurred in a foreign currency, they shall be converted into the euro according to the reference exchange rate published by the European Central Bank at the date of the declaration of costs and / or the conclusion on the eligibility of cost</w:t>
      </w:r>
      <w:r w:rsidR="00E97D0B" w:rsidRPr="006663E2">
        <w:rPr>
          <w:rFonts w:ascii="Times New Roman" w:hAnsi="Times New Roman" w:cs="Times New Roman"/>
          <w:sz w:val="24"/>
          <w:szCs w:val="24"/>
          <w:lang w:val="en-GB"/>
        </w:rPr>
        <w:t>.</w:t>
      </w:r>
    </w:p>
    <w:p w14:paraId="78EC92D7" w14:textId="7D34C240" w:rsidR="00E97D0B" w:rsidRPr="006663E2" w:rsidRDefault="003E1E22"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provision that the Project Partner shall store documents of substantiation of costs and evidence of their payment in observance of provisions of applicable legislation, but not less than specified in the project </w:t>
      </w:r>
      <w:r w:rsidR="0081545D" w:rsidRPr="006663E2">
        <w:rPr>
          <w:rFonts w:ascii="Times New Roman" w:hAnsi="Times New Roman" w:cs="Times New Roman"/>
          <w:sz w:val="24"/>
          <w:szCs w:val="24"/>
          <w:lang w:val="en-GB"/>
        </w:rPr>
        <w:t>contract</w:t>
      </w:r>
      <w:r w:rsidRPr="006663E2">
        <w:rPr>
          <w:rFonts w:ascii="Times New Roman" w:hAnsi="Times New Roman" w:cs="Times New Roman"/>
          <w:sz w:val="24"/>
          <w:szCs w:val="24"/>
          <w:lang w:val="en-GB"/>
        </w:rPr>
        <w:t>;</w:t>
      </w:r>
    </w:p>
    <w:p w14:paraId="03ABFF89" w14:textId="21BBFDA7" w:rsidR="00183DA1" w:rsidRPr="006663E2" w:rsidRDefault="003E1E22"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The provision that the Project Partner shall create conditions for inspecting and auditing project and project-related documents for institutions entitled to do that in the implementation of the programme;</w:t>
      </w:r>
    </w:p>
    <w:p w14:paraId="01FB8BBF" w14:textId="32D41C93" w:rsidR="008E3742" w:rsidRPr="006663E2" w:rsidRDefault="003E1E22"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The provision regarding dispute resolution.</w:t>
      </w:r>
    </w:p>
    <w:p w14:paraId="1B54BB03" w14:textId="2F27AEBE" w:rsidR="00183DA1" w:rsidRPr="006663E2" w:rsidRDefault="00183DA1" w:rsidP="00C540E2">
      <w:pPr>
        <w:pStyle w:val="ListParagraph"/>
        <w:numPr>
          <w:ilvl w:val="1"/>
          <w:numId w:val="3"/>
        </w:numPr>
        <w:spacing w:after="120" w:line="240" w:lineRule="auto"/>
        <w:ind w:left="993" w:hanging="633"/>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provision stating that the project budget, breakdown of costs between the applicant and the partner (s), the method of calculation of indirect costs and their maximum amount, set in the partnership agreement </w:t>
      </w:r>
      <w:r w:rsidR="008E3742" w:rsidRPr="006663E2">
        <w:rPr>
          <w:rFonts w:ascii="Times New Roman" w:hAnsi="Times New Roman" w:cs="Times New Roman"/>
          <w:sz w:val="24"/>
          <w:szCs w:val="24"/>
          <w:lang w:val="en-GB"/>
        </w:rPr>
        <w:t xml:space="preserve">or its draft, prepared before submitting a project application, </w:t>
      </w:r>
      <w:r w:rsidRPr="006663E2">
        <w:rPr>
          <w:rFonts w:ascii="Times New Roman" w:hAnsi="Times New Roman" w:cs="Times New Roman"/>
          <w:sz w:val="24"/>
          <w:szCs w:val="24"/>
          <w:lang w:val="en-GB"/>
        </w:rPr>
        <w:t xml:space="preserve"> </w:t>
      </w:r>
      <w:r w:rsidR="008E3742" w:rsidRPr="006663E2">
        <w:rPr>
          <w:rFonts w:ascii="Times New Roman" w:hAnsi="Times New Roman" w:cs="Times New Roman"/>
          <w:sz w:val="24"/>
          <w:szCs w:val="24"/>
          <w:lang w:val="en-GB"/>
        </w:rPr>
        <w:t>may vary according to the amount of eligible costs determined during the evaluation of the application.  In case the project budget changes, the partnership agreement will have to be modified.</w:t>
      </w:r>
    </w:p>
    <w:p w14:paraId="2186D941" w14:textId="44810CD5" w:rsidR="008E3742" w:rsidRPr="006663E2" w:rsidRDefault="006D59CF" w:rsidP="00C540E2">
      <w:pPr>
        <w:pStyle w:val="ListParagraph"/>
        <w:numPr>
          <w:ilvl w:val="0"/>
          <w:numId w:val="3"/>
        </w:numPr>
        <w:spacing w:after="120" w:line="240" w:lineRule="auto"/>
        <w:jc w:val="both"/>
        <w:rPr>
          <w:rFonts w:ascii="Times New Roman" w:hAnsi="Times New Roman" w:cs="Times New Roman"/>
          <w:sz w:val="24"/>
          <w:szCs w:val="24"/>
          <w:lang w:val="en-GB"/>
        </w:rPr>
      </w:pPr>
      <w:bookmarkStart w:id="6" w:name="_Hlk18088026"/>
      <w:bookmarkEnd w:id="5"/>
      <w:r w:rsidRPr="006663E2">
        <w:rPr>
          <w:rFonts w:ascii="Times New Roman" w:hAnsi="Times New Roman" w:cs="Times New Roman"/>
          <w:sz w:val="24"/>
          <w:szCs w:val="24"/>
          <w:lang w:val="en-GB"/>
        </w:rPr>
        <w:t xml:space="preserve">Where a letter of intent </w:t>
      </w:r>
      <w:r w:rsidR="008E3742" w:rsidRPr="006663E2">
        <w:rPr>
          <w:rFonts w:ascii="Times New Roman" w:hAnsi="Times New Roman" w:cs="Times New Roman"/>
          <w:sz w:val="24"/>
          <w:szCs w:val="24"/>
          <w:lang w:val="en-GB"/>
        </w:rPr>
        <w:t>to sign</w:t>
      </w:r>
      <w:r w:rsidR="006663E2">
        <w:rPr>
          <w:rFonts w:ascii="Times New Roman" w:hAnsi="Times New Roman" w:cs="Times New Roman"/>
          <w:sz w:val="24"/>
          <w:szCs w:val="24"/>
          <w:lang w:val="en-GB"/>
        </w:rPr>
        <w:t xml:space="preserve"> a</w:t>
      </w:r>
      <w:r w:rsidR="008E3742" w:rsidRPr="006663E2">
        <w:rPr>
          <w:rFonts w:ascii="Times New Roman" w:hAnsi="Times New Roman" w:cs="Times New Roman"/>
          <w:sz w:val="24"/>
          <w:szCs w:val="24"/>
          <w:lang w:val="en-GB"/>
        </w:rPr>
        <w:t xml:space="preserve"> partnership agreement </w:t>
      </w:r>
      <w:r w:rsidRPr="006663E2">
        <w:rPr>
          <w:rFonts w:ascii="Times New Roman" w:hAnsi="Times New Roman" w:cs="Times New Roman"/>
          <w:sz w:val="24"/>
          <w:szCs w:val="24"/>
          <w:lang w:val="en-GB"/>
        </w:rPr>
        <w:t>is submitted along with the application,</w:t>
      </w:r>
      <w:r w:rsidR="00174AE9" w:rsidRPr="006663E2">
        <w:rPr>
          <w:rFonts w:ascii="Times New Roman" w:hAnsi="Times New Roman" w:cs="Times New Roman"/>
          <w:sz w:val="24"/>
          <w:szCs w:val="24"/>
          <w:lang w:val="en-GB"/>
        </w:rPr>
        <w:t xml:space="preserve"> it shall include at least the </w:t>
      </w:r>
      <w:r w:rsidRPr="006663E2">
        <w:rPr>
          <w:rFonts w:ascii="Times New Roman" w:hAnsi="Times New Roman" w:cs="Times New Roman"/>
          <w:sz w:val="24"/>
          <w:szCs w:val="24"/>
          <w:lang w:val="en-GB"/>
        </w:rPr>
        <w:t>following conditions</w:t>
      </w:r>
      <w:r w:rsidR="00174AE9" w:rsidRPr="006663E2">
        <w:rPr>
          <w:rFonts w:ascii="Times New Roman" w:hAnsi="Times New Roman" w:cs="Times New Roman"/>
          <w:sz w:val="24"/>
          <w:szCs w:val="24"/>
          <w:lang w:val="en-GB"/>
        </w:rPr>
        <w:t>:</w:t>
      </w:r>
    </w:p>
    <w:p w14:paraId="30FA9406" w14:textId="14E89D54" w:rsidR="002873F9" w:rsidRPr="006663E2" w:rsidRDefault="003B3ADE" w:rsidP="00C540E2">
      <w:pPr>
        <w:pStyle w:val="ListParagraph"/>
        <w:numPr>
          <w:ilvl w:val="1"/>
          <w:numId w:val="3"/>
        </w:numPr>
        <w:spacing w:after="120" w:line="240" w:lineRule="auto"/>
        <w:ind w:left="993" w:hanging="567"/>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The purpose of the letter of intent</w:t>
      </w:r>
      <w:r w:rsidR="002873F9"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 xml:space="preserve">distribution of tasks between the Applicant and the </w:t>
      </w:r>
      <w:r w:rsidR="00804AD4"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artner (-s) in the implementation of the project</w:t>
      </w:r>
      <w:r w:rsidR="002873F9" w:rsidRPr="006663E2">
        <w:rPr>
          <w:rFonts w:ascii="Times New Roman" w:hAnsi="Times New Roman" w:cs="Times New Roman"/>
          <w:sz w:val="24"/>
          <w:szCs w:val="24"/>
          <w:lang w:val="en-GB"/>
        </w:rPr>
        <w:t>;</w:t>
      </w:r>
    </w:p>
    <w:p w14:paraId="180D79FB" w14:textId="0EBFC7BD" w:rsidR="002873F9" w:rsidRPr="006663E2" w:rsidRDefault="00CF4C78" w:rsidP="00C540E2">
      <w:pPr>
        <w:pStyle w:val="ListParagraph"/>
        <w:numPr>
          <w:ilvl w:val="1"/>
          <w:numId w:val="3"/>
        </w:numPr>
        <w:spacing w:after="120" w:line="240" w:lineRule="auto"/>
        <w:ind w:left="993" w:hanging="567"/>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Detailed project budget</w:t>
      </w:r>
      <w:r w:rsidR="002873F9"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 xml:space="preserve">distribution of </w:t>
      </w:r>
      <w:r w:rsidR="00804AD4" w:rsidRPr="006663E2">
        <w:rPr>
          <w:rFonts w:ascii="Times New Roman" w:hAnsi="Times New Roman" w:cs="Times New Roman"/>
          <w:sz w:val="24"/>
          <w:szCs w:val="24"/>
          <w:lang w:val="en-GB"/>
        </w:rPr>
        <w:t>costs</w:t>
      </w:r>
      <w:r w:rsidRPr="006663E2">
        <w:rPr>
          <w:rFonts w:ascii="Times New Roman" w:hAnsi="Times New Roman" w:cs="Times New Roman"/>
          <w:sz w:val="24"/>
          <w:szCs w:val="24"/>
          <w:lang w:val="en-GB"/>
        </w:rPr>
        <w:t xml:space="preserve"> between the Applicant and the </w:t>
      </w:r>
      <w:r w:rsidR="00804AD4"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artner (-s)</w:t>
      </w:r>
      <w:r w:rsidR="002873F9" w:rsidRPr="006663E2">
        <w:rPr>
          <w:rFonts w:ascii="Times New Roman" w:hAnsi="Times New Roman" w:cs="Times New Roman"/>
          <w:sz w:val="24"/>
          <w:szCs w:val="24"/>
          <w:lang w:val="en-GB"/>
        </w:rPr>
        <w:t>.</w:t>
      </w:r>
    </w:p>
    <w:p w14:paraId="686D5867" w14:textId="5BC0D118" w:rsidR="0027058E" w:rsidRPr="006663E2" w:rsidRDefault="00CF4C78"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Where a draft partnership agreement or a letter of intent is submitted along with the application, a copy of a signed partnership agreement shall be submitted to the programme operator before signing a project </w:t>
      </w:r>
      <w:r w:rsidR="0081545D" w:rsidRPr="006663E2">
        <w:rPr>
          <w:rFonts w:ascii="Times New Roman" w:hAnsi="Times New Roman" w:cs="Times New Roman"/>
          <w:sz w:val="24"/>
          <w:szCs w:val="24"/>
          <w:lang w:val="en-GB"/>
        </w:rPr>
        <w:t>contract</w:t>
      </w:r>
      <w:r w:rsidR="002873F9" w:rsidRPr="006663E2">
        <w:rPr>
          <w:rFonts w:ascii="Times New Roman" w:hAnsi="Times New Roman" w:cs="Times New Roman"/>
          <w:sz w:val="24"/>
          <w:szCs w:val="24"/>
          <w:lang w:val="en-GB"/>
        </w:rPr>
        <w:t>.</w:t>
      </w:r>
    </w:p>
    <w:bookmarkEnd w:id="6"/>
    <w:p w14:paraId="0A491E8A" w14:textId="5377E684" w:rsidR="00AB18F3" w:rsidRPr="006663E2" w:rsidRDefault="00CF4C78"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w:t>
      </w:r>
      <w:r w:rsidR="00F20647"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 xml:space="preserve">artner (-s) shall participate in the implementation of the project and </w:t>
      </w:r>
      <w:r w:rsidR="00F20647" w:rsidRPr="006663E2">
        <w:rPr>
          <w:rFonts w:ascii="Times New Roman" w:hAnsi="Times New Roman" w:cs="Times New Roman"/>
          <w:sz w:val="24"/>
          <w:szCs w:val="24"/>
          <w:lang w:val="en-GB"/>
        </w:rPr>
        <w:t xml:space="preserve">shall </w:t>
      </w:r>
      <w:r w:rsidRPr="006663E2">
        <w:rPr>
          <w:rFonts w:ascii="Times New Roman" w:hAnsi="Times New Roman" w:cs="Times New Roman"/>
          <w:sz w:val="24"/>
          <w:szCs w:val="24"/>
          <w:lang w:val="en-GB"/>
        </w:rPr>
        <w:t xml:space="preserve">use its results or products, however the </w:t>
      </w:r>
      <w:r w:rsidR="00F20647"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pplicant shall be responsible for proper implementation, coordination of the project and the use of funds. Where mechanism funds and co-financing funds are allocated for the project, </w:t>
      </w:r>
      <w:r w:rsidR="00F20647"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 project </w:t>
      </w:r>
      <w:r w:rsidR="0081545D" w:rsidRPr="006663E2">
        <w:rPr>
          <w:rFonts w:ascii="Times New Roman" w:hAnsi="Times New Roman" w:cs="Times New Roman"/>
          <w:sz w:val="24"/>
          <w:szCs w:val="24"/>
          <w:lang w:val="en-GB"/>
        </w:rPr>
        <w:t>contract</w:t>
      </w:r>
      <w:r w:rsidRPr="006663E2">
        <w:rPr>
          <w:rFonts w:ascii="Times New Roman" w:hAnsi="Times New Roman" w:cs="Times New Roman"/>
          <w:sz w:val="24"/>
          <w:szCs w:val="24"/>
          <w:lang w:val="en-GB"/>
        </w:rPr>
        <w:t xml:space="preserve"> shall be concluded with the </w:t>
      </w:r>
      <w:r w:rsidR="00F20647"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pplicant, who </w:t>
      </w:r>
      <w:r w:rsidR="00F20647" w:rsidRPr="006663E2">
        <w:rPr>
          <w:rFonts w:ascii="Times New Roman" w:hAnsi="Times New Roman" w:cs="Times New Roman"/>
          <w:sz w:val="24"/>
          <w:szCs w:val="24"/>
          <w:lang w:val="en-GB"/>
        </w:rPr>
        <w:t>shall</w:t>
      </w:r>
      <w:r w:rsidRPr="006663E2">
        <w:rPr>
          <w:rFonts w:ascii="Times New Roman" w:hAnsi="Times New Roman" w:cs="Times New Roman"/>
          <w:sz w:val="24"/>
          <w:szCs w:val="24"/>
          <w:lang w:val="en-GB"/>
        </w:rPr>
        <w:t xml:space="preserve"> become a </w:t>
      </w:r>
      <w:r w:rsidR="00F20647"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 xml:space="preserve">roject </w:t>
      </w:r>
      <w:r w:rsidR="00F20647"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 xml:space="preserve">romoter </w:t>
      </w:r>
      <w:r w:rsidR="00F20647" w:rsidRPr="006663E2">
        <w:rPr>
          <w:rFonts w:ascii="Times New Roman" w:hAnsi="Times New Roman" w:cs="Times New Roman"/>
          <w:sz w:val="24"/>
          <w:szCs w:val="24"/>
          <w:lang w:val="en-GB"/>
        </w:rPr>
        <w:t xml:space="preserve">as </w:t>
      </w:r>
      <w:r w:rsidRPr="006663E2">
        <w:rPr>
          <w:rFonts w:ascii="Times New Roman" w:hAnsi="Times New Roman" w:cs="Times New Roman"/>
          <w:sz w:val="24"/>
          <w:szCs w:val="24"/>
          <w:lang w:val="en-GB"/>
        </w:rPr>
        <w:t xml:space="preserve">from the date of signing the project </w:t>
      </w:r>
      <w:r w:rsidR="0081545D" w:rsidRPr="006663E2">
        <w:rPr>
          <w:rFonts w:ascii="Times New Roman" w:hAnsi="Times New Roman" w:cs="Times New Roman"/>
          <w:sz w:val="24"/>
          <w:szCs w:val="24"/>
          <w:lang w:val="en-GB"/>
        </w:rPr>
        <w:t>contract</w:t>
      </w:r>
      <w:r w:rsidRPr="006663E2">
        <w:rPr>
          <w:rFonts w:ascii="Times New Roman" w:hAnsi="Times New Roman" w:cs="Times New Roman"/>
          <w:sz w:val="24"/>
          <w:szCs w:val="24"/>
          <w:lang w:val="en-GB"/>
        </w:rPr>
        <w:t xml:space="preserve">. Mechanism funds and co-financing funds allocated for the implementation of the entire project shall be paid directly to the </w:t>
      </w:r>
      <w:r w:rsidR="00F20647" w:rsidRPr="006663E2">
        <w:rPr>
          <w:rFonts w:ascii="Times New Roman" w:hAnsi="Times New Roman" w:cs="Times New Roman"/>
          <w:sz w:val="24"/>
          <w:szCs w:val="24"/>
          <w:lang w:val="en-GB"/>
        </w:rPr>
        <w:t>Project Promote</w:t>
      </w:r>
      <w:r w:rsidRPr="006663E2">
        <w:rPr>
          <w:rFonts w:ascii="Times New Roman" w:hAnsi="Times New Roman" w:cs="Times New Roman"/>
          <w:sz w:val="24"/>
          <w:szCs w:val="24"/>
          <w:lang w:val="en-GB"/>
        </w:rPr>
        <w:t xml:space="preserve">, who shall then settle with the </w:t>
      </w:r>
      <w:r w:rsidR="00F20647"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artner (-s)</w:t>
      </w:r>
      <w:r w:rsidR="00AB18F3" w:rsidRPr="006663E2">
        <w:rPr>
          <w:rFonts w:ascii="Times New Roman" w:hAnsi="Times New Roman" w:cs="Times New Roman"/>
          <w:sz w:val="24"/>
          <w:szCs w:val="24"/>
          <w:lang w:val="en-GB"/>
        </w:rPr>
        <w:t>.</w:t>
      </w:r>
    </w:p>
    <w:p w14:paraId="058A1EB1" w14:textId="1055AA26" w:rsidR="004633B4" w:rsidRPr="006663E2" w:rsidRDefault="004633B4" w:rsidP="00C540E2">
      <w:pPr>
        <w:pStyle w:val="ListParagraph"/>
        <w:spacing w:after="120" w:line="240" w:lineRule="auto"/>
        <w:ind w:left="360"/>
        <w:jc w:val="both"/>
        <w:rPr>
          <w:rFonts w:ascii="Times New Roman" w:hAnsi="Times New Roman" w:cs="Times New Roman"/>
          <w:sz w:val="24"/>
          <w:szCs w:val="24"/>
          <w:lang w:val="en-GB"/>
        </w:rPr>
      </w:pPr>
    </w:p>
    <w:p w14:paraId="00641AC9" w14:textId="6CB5EDDD" w:rsidR="002B3D48" w:rsidRPr="006663E2" w:rsidRDefault="00CC6BA2"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6663E2">
        <w:rPr>
          <w:rFonts w:ascii="Times New Roman" w:hAnsi="Times New Roman" w:cs="Times New Roman"/>
          <w:b/>
          <w:bCs/>
          <w:caps/>
          <w:sz w:val="24"/>
          <w:szCs w:val="24"/>
          <w:lang w:val="en-GB"/>
        </w:rPr>
        <w:t>Eligible projects</w:t>
      </w:r>
    </w:p>
    <w:p w14:paraId="74D0269C" w14:textId="77777777" w:rsidR="004633B4" w:rsidRPr="006663E2" w:rsidRDefault="004633B4" w:rsidP="00C540E2">
      <w:pPr>
        <w:pStyle w:val="ListParagraph"/>
        <w:spacing w:after="120" w:line="240" w:lineRule="auto"/>
        <w:ind w:left="1080"/>
        <w:rPr>
          <w:rFonts w:ascii="Times New Roman" w:hAnsi="Times New Roman" w:cs="Times New Roman"/>
          <w:b/>
          <w:bCs/>
          <w:sz w:val="24"/>
          <w:szCs w:val="24"/>
          <w:lang w:val="en-GB"/>
        </w:rPr>
      </w:pPr>
    </w:p>
    <w:p w14:paraId="072B04B0" w14:textId="6D20FC40" w:rsidR="0015180B" w:rsidRPr="006663E2" w:rsidRDefault="00CC6BA2" w:rsidP="0015180B">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Financing shall be allocated for projects that contribute to the pursuit of objectives of the Programme and this open call</w:t>
      </w:r>
      <w:r w:rsidR="001A272D" w:rsidRPr="006663E2">
        <w:rPr>
          <w:rFonts w:ascii="Times New Roman" w:hAnsi="Times New Roman" w:cs="Times New Roman"/>
          <w:sz w:val="24"/>
          <w:szCs w:val="24"/>
          <w:lang w:val="en-GB"/>
        </w:rPr>
        <w:t xml:space="preserve">, and </w:t>
      </w:r>
      <w:r w:rsidR="0015180B" w:rsidRPr="006663E2">
        <w:rPr>
          <w:rFonts w:ascii="Times New Roman" w:hAnsi="Times New Roman" w:cs="Times New Roman"/>
          <w:sz w:val="24"/>
          <w:szCs w:val="24"/>
          <w:lang w:val="en-GB"/>
        </w:rPr>
        <w:t xml:space="preserve">that meet this </w:t>
      </w:r>
      <w:r w:rsidR="000F3E30" w:rsidRPr="006663E2">
        <w:rPr>
          <w:rFonts w:ascii="Times New Roman" w:hAnsi="Times New Roman" w:cs="Times New Roman"/>
          <w:sz w:val="24"/>
          <w:szCs w:val="24"/>
          <w:lang w:val="en-GB"/>
        </w:rPr>
        <w:t xml:space="preserve">special </w:t>
      </w:r>
      <w:r w:rsidR="006759DE" w:rsidRPr="006663E2">
        <w:rPr>
          <w:rFonts w:ascii="Times New Roman" w:hAnsi="Times New Roman" w:cs="Times New Roman"/>
          <w:sz w:val="24"/>
          <w:szCs w:val="24"/>
          <w:lang w:val="en-GB"/>
        </w:rPr>
        <w:t xml:space="preserve">project </w:t>
      </w:r>
      <w:r w:rsidR="000F3E30" w:rsidRPr="006663E2">
        <w:rPr>
          <w:rFonts w:ascii="Times New Roman" w:hAnsi="Times New Roman" w:cs="Times New Roman"/>
          <w:sz w:val="24"/>
          <w:szCs w:val="24"/>
          <w:lang w:val="en-GB"/>
        </w:rPr>
        <w:t>eligibility criteria</w:t>
      </w:r>
      <w:r w:rsidR="000B7B8F" w:rsidRPr="006663E2">
        <w:rPr>
          <w:rFonts w:ascii="Times New Roman" w:hAnsi="Times New Roman" w:cs="Times New Roman"/>
          <w:sz w:val="24"/>
          <w:szCs w:val="24"/>
          <w:lang w:val="en-GB"/>
        </w:rPr>
        <w:t xml:space="preserve"> (</w:t>
      </w:r>
      <w:r w:rsidR="0015180B" w:rsidRPr="006663E2">
        <w:rPr>
          <w:rFonts w:ascii="Times New Roman" w:hAnsi="Times New Roman" w:cs="Times New Roman"/>
          <w:sz w:val="24"/>
          <w:szCs w:val="24"/>
          <w:lang w:val="en-GB"/>
        </w:rPr>
        <w:t>the criteria is</w:t>
      </w:r>
      <w:r w:rsidR="00F441FB" w:rsidRPr="006663E2">
        <w:rPr>
          <w:rFonts w:ascii="Times New Roman" w:hAnsi="Times New Roman" w:cs="Times New Roman"/>
          <w:sz w:val="24"/>
          <w:szCs w:val="24"/>
          <w:lang w:val="en-GB"/>
        </w:rPr>
        <w:t xml:space="preserve"> mandatory for all Projects</w:t>
      </w:r>
      <w:r w:rsidR="000B7B8F" w:rsidRPr="006663E2">
        <w:rPr>
          <w:rFonts w:ascii="Times New Roman" w:hAnsi="Times New Roman" w:cs="Times New Roman"/>
          <w:sz w:val="24"/>
          <w:szCs w:val="24"/>
          <w:lang w:val="en-GB"/>
        </w:rPr>
        <w:t>)</w:t>
      </w:r>
      <w:r w:rsidR="0015180B" w:rsidRPr="006663E2">
        <w:rPr>
          <w:rFonts w:ascii="Times New Roman" w:hAnsi="Times New Roman" w:cs="Times New Roman"/>
          <w:sz w:val="24"/>
          <w:szCs w:val="24"/>
          <w:lang w:val="en-GB"/>
        </w:rPr>
        <w:t xml:space="preserve"> – during the implementation of the project it is foreseen to introduce and/ or apply new methodologies and / or new support mechanisms and / or a new working model for children and young people from the selected target group (s).</w:t>
      </w:r>
    </w:p>
    <w:p w14:paraId="68435905" w14:textId="1D728127" w:rsidR="0015180B" w:rsidRPr="006663E2" w:rsidRDefault="0015180B" w:rsidP="0015180B">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Possible target groups of the projects:</w:t>
      </w:r>
    </w:p>
    <w:p w14:paraId="7ABB1491" w14:textId="77777777" w:rsidR="0015180B" w:rsidRPr="006663E2" w:rsidRDefault="0015180B" w:rsidP="0015180B">
      <w:pPr>
        <w:pStyle w:val="ListParagraph"/>
        <w:spacing w:after="120" w:line="240" w:lineRule="auto"/>
        <w:ind w:left="36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23.1. children and young people from socially at-risk families starting independent lives; children and young people from the care system (child care institutions, families of guardians (caregivers), families) starting independent life;</w:t>
      </w:r>
    </w:p>
    <w:p w14:paraId="7610F343" w14:textId="1BCA9DA6" w:rsidR="0015180B" w:rsidRPr="006663E2" w:rsidRDefault="0015180B" w:rsidP="0015180B">
      <w:pPr>
        <w:pStyle w:val="ListParagraph"/>
        <w:spacing w:after="120" w:line="240" w:lineRule="auto"/>
        <w:ind w:left="36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23.2. children and young people who leave closed institutions (e</w:t>
      </w:r>
      <w:r w:rsidR="007E1968">
        <w:rPr>
          <w:rFonts w:ascii="Times New Roman" w:hAnsi="Times New Roman" w:cs="Times New Roman"/>
          <w:sz w:val="24"/>
          <w:szCs w:val="24"/>
          <w:lang w:val="en-GB"/>
        </w:rPr>
        <w:t>.</w:t>
      </w:r>
      <w:r w:rsidRPr="006663E2">
        <w:rPr>
          <w:rFonts w:ascii="Times New Roman" w:hAnsi="Times New Roman" w:cs="Times New Roman"/>
          <w:sz w:val="24"/>
          <w:szCs w:val="24"/>
          <w:lang w:val="en-GB"/>
        </w:rPr>
        <w:t>g</w:t>
      </w:r>
      <w:r w:rsidR="007E1968">
        <w:rPr>
          <w:rFonts w:ascii="Times New Roman" w:hAnsi="Times New Roman" w:cs="Times New Roman"/>
          <w:sz w:val="24"/>
          <w:szCs w:val="24"/>
          <w:lang w:val="en-GB"/>
        </w:rPr>
        <w:t>.</w:t>
      </w:r>
      <w:r w:rsidRPr="006663E2">
        <w:rPr>
          <w:rFonts w:ascii="Times New Roman" w:hAnsi="Times New Roman" w:cs="Times New Roman"/>
          <w:sz w:val="24"/>
          <w:szCs w:val="24"/>
          <w:lang w:val="en-GB"/>
        </w:rPr>
        <w:t xml:space="preserve"> socialization centers, mental (psychiatric) day hospitals) and start independent living or return to their place of residence; children with special needs (including children with delinquent behavio</w:t>
      </w:r>
      <w:r w:rsidR="007E1968">
        <w:rPr>
          <w:rFonts w:ascii="Times New Roman" w:hAnsi="Times New Roman" w:cs="Times New Roman"/>
          <w:sz w:val="24"/>
          <w:szCs w:val="24"/>
          <w:lang w:val="en-GB"/>
        </w:rPr>
        <w:t>u</w:t>
      </w:r>
      <w:r w:rsidRPr="006663E2">
        <w:rPr>
          <w:rFonts w:ascii="Times New Roman" w:hAnsi="Times New Roman" w:cs="Times New Roman"/>
          <w:sz w:val="24"/>
          <w:szCs w:val="24"/>
          <w:lang w:val="en-GB"/>
        </w:rPr>
        <w:t>r, children with behavio</w:t>
      </w:r>
      <w:r w:rsidR="007E1968">
        <w:rPr>
          <w:rFonts w:ascii="Times New Roman" w:hAnsi="Times New Roman" w:cs="Times New Roman"/>
          <w:sz w:val="24"/>
          <w:szCs w:val="24"/>
          <w:lang w:val="en-GB"/>
        </w:rPr>
        <w:t>u</w:t>
      </w:r>
      <w:r w:rsidRPr="006663E2">
        <w:rPr>
          <w:rFonts w:ascii="Times New Roman" w:hAnsi="Times New Roman" w:cs="Times New Roman"/>
          <w:sz w:val="24"/>
          <w:szCs w:val="24"/>
          <w:lang w:val="en-GB"/>
        </w:rPr>
        <w:t>ral and emotional disorders, children with disabilities, children with developmental disorders);</w:t>
      </w:r>
    </w:p>
    <w:p w14:paraId="082B1CB0" w14:textId="3216787F" w:rsidR="00F441FB" w:rsidRPr="006663E2" w:rsidRDefault="0015180B" w:rsidP="0015180B">
      <w:pPr>
        <w:pStyle w:val="ListParagraph"/>
        <w:spacing w:after="120" w:line="240" w:lineRule="auto"/>
        <w:ind w:left="36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lastRenderedPageBreak/>
        <w:t>23.3. children - victims of violence (including domestic violence) and children, and young people -victims of trafficking.</w:t>
      </w:r>
    </w:p>
    <w:p w14:paraId="02431306" w14:textId="7BECE5DB" w:rsidR="004127E9" w:rsidRPr="006663E2" w:rsidRDefault="002F136E"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In the implementation of the project t</w:t>
      </w:r>
      <w:r w:rsidR="00387CBB" w:rsidRPr="006663E2">
        <w:rPr>
          <w:rFonts w:ascii="Times New Roman" w:hAnsi="Times New Roman" w:cs="Times New Roman"/>
          <w:sz w:val="24"/>
          <w:szCs w:val="24"/>
          <w:lang w:val="en-GB"/>
        </w:rPr>
        <w:t xml:space="preserve">he </w:t>
      </w:r>
      <w:r w:rsidR="001A272D" w:rsidRPr="006663E2">
        <w:rPr>
          <w:rFonts w:ascii="Times New Roman" w:hAnsi="Times New Roman" w:cs="Times New Roman"/>
          <w:sz w:val="24"/>
          <w:szCs w:val="24"/>
          <w:lang w:val="en-GB"/>
        </w:rPr>
        <w:t>A</w:t>
      </w:r>
      <w:r w:rsidR="00387CBB" w:rsidRPr="006663E2">
        <w:rPr>
          <w:rFonts w:ascii="Times New Roman" w:hAnsi="Times New Roman" w:cs="Times New Roman"/>
          <w:sz w:val="24"/>
          <w:szCs w:val="24"/>
          <w:lang w:val="en-GB"/>
        </w:rPr>
        <w:t xml:space="preserve">pplicants shall </w:t>
      </w:r>
      <w:r w:rsidRPr="006663E2">
        <w:rPr>
          <w:rFonts w:ascii="Times New Roman" w:hAnsi="Times New Roman" w:cs="Times New Roman"/>
          <w:sz w:val="24"/>
          <w:szCs w:val="24"/>
          <w:lang w:val="en-GB"/>
        </w:rPr>
        <w:t>seek to contribute</w:t>
      </w:r>
      <w:r w:rsidR="003B3C5C"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 xml:space="preserve"> to the achievement of</w:t>
      </w:r>
      <w:r w:rsidR="00151123" w:rsidRPr="006663E2">
        <w:rPr>
          <w:rFonts w:ascii="Times New Roman" w:hAnsi="Times New Roman" w:cs="Times New Roman"/>
          <w:sz w:val="24"/>
          <w:szCs w:val="24"/>
          <w:lang w:val="en-GB"/>
        </w:rPr>
        <w:t xml:space="preserve"> </w:t>
      </w:r>
      <w:r w:rsidR="00387CBB" w:rsidRPr="006663E2">
        <w:rPr>
          <w:rFonts w:ascii="Times New Roman" w:hAnsi="Times New Roman" w:cs="Times New Roman"/>
          <w:sz w:val="24"/>
          <w:szCs w:val="24"/>
          <w:lang w:val="en-GB"/>
        </w:rPr>
        <w:t xml:space="preserve">the following </w:t>
      </w:r>
      <w:r w:rsidR="006663E2">
        <w:rPr>
          <w:rFonts w:ascii="Times New Roman" w:hAnsi="Times New Roman" w:cs="Times New Roman"/>
          <w:sz w:val="24"/>
          <w:szCs w:val="24"/>
          <w:lang w:val="en-GB"/>
        </w:rPr>
        <w:t xml:space="preserve">outcome and output </w:t>
      </w:r>
      <w:r w:rsidR="00387CBB" w:rsidRPr="006663E2">
        <w:rPr>
          <w:rFonts w:ascii="Times New Roman" w:hAnsi="Times New Roman" w:cs="Times New Roman"/>
          <w:sz w:val="24"/>
          <w:szCs w:val="24"/>
          <w:lang w:val="en-GB"/>
        </w:rPr>
        <w:t>monitoring indicators</w:t>
      </w:r>
      <w:r w:rsidR="006663E2">
        <w:rPr>
          <w:rFonts w:ascii="Times New Roman" w:hAnsi="Times New Roman" w:cs="Times New Roman"/>
          <w:sz w:val="24"/>
          <w:szCs w:val="24"/>
          <w:lang w:val="en-GB"/>
        </w:rPr>
        <w:t xml:space="preserve"> (the </w:t>
      </w:r>
      <w:r w:rsidR="006663E2" w:rsidRPr="006663E2">
        <w:rPr>
          <w:rFonts w:ascii="Times New Roman" w:hAnsi="Times New Roman" w:cs="Times New Roman"/>
          <w:sz w:val="24"/>
          <w:szCs w:val="24"/>
          <w:lang w:val="en-GB"/>
        </w:rPr>
        <w:t>indicators are mandatory</w:t>
      </w:r>
      <w:r w:rsidR="006663E2">
        <w:rPr>
          <w:rFonts w:ascii="Times New Roman" w:hAnsi="Times New Roman" w:cs="Times New Roman"/>
          <w:sz w:val="24"/>
          <w:szCs w:val="24"/>
          <w:lang w:val="en-GB"/>
        </w:rPr>
        <w:t xml:space="preserve">) </w:t>
      </w:r>
      <w:r w:rsidR="004127E9" w:rsidRPr="006663E2">
        <w:rPr>
          <w:rFonts w:ascii="Times New Roman" w:hAnsi="Times New Roman" w:cs="Times New Roman"/>
          <w:sz w:val="24"/>
          <w:szCs w:val="24"/>
          <w:lang w:val="en-GB"/>
        </w:rPr>
        <w:t>:</w:t>
      </w:r>
    </w:p>
    <w:tbl>
      <w:tblPr>
        <w:tblStyle w:val="TableGrid"/>
        <w:tblW w:w="0" w:type="auto"/>
        <w:tblInd w:w="360" w:type="dxa"/>
        <w:tblLook w:val="04A0" w:firstRow="1" w:lastRow="0" w:firstColumn="1" w:lastColumn="0" w:noHBand="0" w:noVBand="1"/>
      </w:tblPr>
      <w:tblGrid>
        <w:gridCol w:w="9558"/>
      </w:tblGrid>
      <w:tr w:rsidR="00B55687" w:rsidRPr="006663E2" w14:paraId="70D60BCA" w14:textId="77777777" w:rsidTr="00EF0113">
        <w:tc>
          <w:tcPr>
            <w:tcW w:w="9558" w:type="dxa"/>
          </w:tcPr>
          <w:p w14:paraId="5BBDB2E8" w14:textId="5892BE73" w:rsidR="00B55687" w:rsidRPr="006663E2" w:rsidRDefault="002F136E" w:rsidP="00C540E2">
            <w:pPr>
              <w:spacing w:after="120"/>
              <w:jc w:val="both"/>
              <w:rPr>
                <w:rFonts w:ascii="Times New Roman" w:hAnsi="Times New Roman" w:cs="Times New Roman"/>
                <w:b/>
                <w:sz w:val="24"/>
                <w:szCs w:val="24"/>
                <w:lang w:val="en-GB"/>
              </w:rPr>
            </w:pPr>
            <w:r w:rsidRPr="006663E2">
              <w:rPr>
                <w:rFonts w:ascii="Times New Roman" w:hAnsi="Times New Roman" w:cs="Times New Roman"/>
                <w:b/>
                <w:sz w:val="24"/>
                <w:szCs w:val="24"/>
                <w:lang w:val="en-GB"/>
              </w:rPr>
              <w:t xml:space="preserve">Outcome </w:t>
            </w:r>
            <w:r w:rsidR="00B55687" w:rsidRPr="006663E2">
              <w:rPr>
                <w:rFonts w:ascii="Times New Roman" w:hAnsi="Times New Roman" w:cs="Times New Roman"/>
                <w:b/>
                <w:sz w:val="24"/>
                <w:szCs w:val="24"/>
                <w:lang w:val="en-GB"/>
              </w:rPr>
              <w:t>Indicator</w:t>
            </w:r>
          </w:p>
        </w:tc>
      </w:tr>
      <w:tr w:rsidR="00B55687" w:rsidRPr="006663E2" w14:paraId="44880B7D" w14:textId="77777777" w:rsidTr="00EF0113">
        <w:tc>
          <w:tcPr>
            <w:tcW w:w="9558" w:type="dxa"/>
          </w:tcPr>
          <w:p w14:paraId="5E8F4808" w14:textId="1CFDDFB5" w:rsidR="00B55687" w:rsidRPr="006663E2" w:rsidRDefault="0015180B" w:rsidP="005D2B48">
            <w:pPr>
              <w:pStyle w:val="ListParagraph"/>
              <w:numPr>
                <w:ilvl w:val="1"/>
                <w:numId w:val="3"/>
              </w:numPr>
              <w:tabs>
                <w:tab w:val="left" w:pos="658"/>
              </w:tabs>
              <w:spacing w:after="120"/>
              <w:ind w:left="658" w:hanging="573"/>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Share of trained staff self-reporting on improved capacity to recognize and treat cases of children and youth suffering from bullying and/or psycho-social problems</w:t>
            </w:r>
          </w:p>
        </w:tc>
      </w:tr>
      <w:tr w:rsidR="00151123" w:rsidRPr="006663E2" w14:paraId="1DBDE943" w14:textId="77777777" w:rsidTr="00EF0113">
        <w:tc>
          <w:tcPr>
            <w:tcW w:w="9558" w:type="dxa"/>
          </w:tcPr>
          <w:p w14:paraId="76044AFE" w14:textId="40AD11F3" w:rsidR="00151123" w:rsidRPr="006663E2" w:rsidRDefault="00151123" w:rsidP="005D2B48">
            <w:pPr>
              <w:tabs>
                <w:tab w:val="left" w:pos="658"/>
                <w:tab w:val="left" w:pos="949"/>
              </w:tabs>
              <w:spacing w:after="120"/>
              <w:ind w:left="658" w:hanging="573"/>
              <w:jc w:val="both"/>
              <w:rPr>
                <w:rFonts w:ascii="Times New Roman" w:hAnsi="Times New Roman" w:cs="Times New Roman"/>
                <w:b/>
                <w:sz w:val="24"/>
                <w:szCs w:val="24"/>
                <w:lang w:val="en-GB"/>
              </w:rPr>
            </w:pPr>
            <w:r w:rsidRPr="006663E2">
              <w:rPr>
                <w:rFonts w:ascii="Times New Roman" w:hAnsi="Times New Roman" w:cs="Times New Roman"/>
                <w:b/>
                <w:sz w:val="24"/>
                <w:szCs w:val="24"/>
                <w:lang w:val="en-GB"/>
              </w:rPr>
              <w:t>Output Indicator</w:t>
            </w:r>
          </w:p>
        </w:tc>
      </w:tr>
      <w:tr w:rsidR="00151123" w:rsidRPr="006663E2" w14:paraId="75E00961" w14:textId="77777777" w:rsidTr="00EF0113">
        <w:tc>
          <w:tcPr>
            <w:tcW w:w="9558" w:type="dxa"/>
          </w:tcPr>
          <w:p w14:paraId="06C605FA" w14:textId="7D1D01F0" w:rsidR="00151123" w:rsidRPr="006663E2" w:rsidRDefault="0015180B" w:rsidP="005D2B48">
            <w:pPr>
              <w:pStyle w:val="ListParagraph"/>
              <w:numPr>
                <w:ilvl w:val="1"/>
                <w:numId w:val="3"/>
              </w:numPr>
              <w:tabs>
                <w:tab w:val="left" w:pos="658"/>
                <w:tab w:val="left" w:pos="949"/>
              </w:tabs>
              <w:spacing w:after="120"/>
              <w:ind w:left="658" w:hanging="573"/>
              <w:jc w:val="both"/>
              <w:rPr>
                <w:rFonts w:ascii="Times New Roman" w:hAnsi="Times New Roman" w:cs="Times New Roman"/>
                <w:b/>
                <w:sz w:val="24"/>
                <w:szCs w:val="24"/>
                <w:lang w:val="en-GB"/>
              </w:rPr>
            </w:pPr>
            <w:r w:rsidRPr="006663E2">
              <w:rPr>
                <w:rFonts w:ascii="Times New Roman" w:eastAsia="Times New Roman" w:hAnsi="Times New Roman" w:cs="Times New Roman"/>
                <w:color w:val="000000"/>
                <w:sz w:val="24"/>
                <w:szCs w:val="24"/>
                <w:lang w:val="en-GB" w:eastAsia="en-GB"/>
              </w:rPr>
              <w:t>Number of initiatives for children and young people from vulnerable groups developed and implemented</w:t>
            </w:r>
            <w:r w:rsidR="00CB6F68" w:rsidRPr="006663E2">
              <w:rPr>
                <w:rFonts w:ascii="Times New Roman" w:eastAsia="Times New Roman" w:hAnsi="Times New Roman" w:cs="Times New Roman"/>
                <w:color w:val="000000"/>
                <w:sz w:val="24"/>
                <w:szCs w:val="24"/>
                <w:lang w:val="en-GB" w:eastAsia="en-GB"/>
              </w:rPr>
              <w:t xml:space="preserve"> </w:t>
            </w:r>
          </w:p>
        </w:tc>
      </w:tr>
      <w:tr w:rsidR="00151123" w:rsidRPr="006663E2" w14:paraId="22516CD1" w14:textId="77777777" w:rsidTr="00EF0113">
        <w:tc>
          <w:tcPr>
            <w:tcW w:w="9558" w:type="dxa"/>
          </w:tcPr>
          <w:p w14:paraId="5694B786" w14:textId="25C7B3FA" w:rsidR="00151123" w:rsidRPr="006663E2" w:rsidRDefault="0015180B" w:rsidP="005D2B48">
            <w:pPr>
              <w:pStyle w:val="ListParagraph"/>
              <w:numPr>
                <w:ilvl w:val="1"/>
                <w:numId w:val="3"/>
              </w:numPr>
              <w:tabs>
                <w:tab w:val="left" w:pos="658"/>
                <w:tab w:val="left" w:pos="949"/>
              </w:tabs>
              <w:spacing w:after="120"/>
              <w:ind w:left="658" w:hanging="573"/>
              <w:jc w:val="both"/>
              <w:rPr>
                <w:rFonts w:ascii="Times New Roman" w:hAnsi="Times New Roman" w:cs="Times New Roman"/>
                <w:b/>
                <w:sz w:val="24"/>
                <w:szCs w:val="24"/>
                <w:lang w:val="en-GB"/>
              </w:rPr>
            </w:pPr>
            <w:r w:rsidRPr="006663E2">
              <w:rPr>
                <w:rFonts w:ascii="Times New Roman" w:eastAsia="Times New Roman" w:hAnsi="Times New Roman" w:cs="Times New Roman"/>
                <w:color w:val="000000"/>
                <w:sz w:val="24"/>
                <w:szCs w:val="24"/>
                <w:lang w:val="en-GB" w:eastAsia="en-GB"/>
              </w:rPr>
              <w:t>Number of local specialists/service providers involved in providing services for children/youth</w:t>
            </w:r>
          </w:p>
        </w:tc>
      </w:tr>
    </w:tbl>
    <w:p w14:paraId="7131608B" w14:textId="6613FD38" w:rsidR="006F22A0" w:rsidRPr="006663E2" w:rsidRDefault="00210607" w:rsidP="00C540E2">
      <w:pPr>
        <w:pStyle w:val="ListParagraph"/>
        <w:numPr>
          <w:ilvl w:val="0"/>
          <w:numId w:val="3"/>
        </w:numPr>
        <w:spacing w:after="120" w:line="240" w:lineRule="auto"/>
        <w:ind w:left="357" w:hanging="357"/>
        <w:contextualSpacing w:val="0"/>
        <w:jc w:val="both"/>
        <w:rPr>
          <w:rFonts w:ascii="Times New Roman" w:hAnsi="Times New Roman" w:cs="Times New Roman"/>
          <w:sz w:val="24"/>
          <w:szCs w:val="24"/>
          <w:lang w:val="en-GB"/>
        </w:rPr>
      </w:pPr>
      <w:r w:rsidRPr="006663E2">
        <w:rPr>
          <w:lang w:val="en-GB"/>
        </w:rPr>
        <w:t xml:space="preserve"> </w:t>
      </w:r>
      <w:r w:rsidR="007632C9" w:rsidRPr="007632C9">
        <w:rPr>
          <w:rFonts w:ascii="Times New Roman" w:hAnsi="Times New Roman"/>
          <w:sz w:val="24"/>
          <w:szCs w:val="24"/>
          <w:lang w:val="en-GB"/>
        </w:rPr>
        <w:t xml:space="preserve"> </w:t>
      </w:r>
      <w:r w:rsidR="007632C9">
        <w:rPr>
          <w:rFonts w:ascii="Times New Roman" w:hAnsi="Times New Roman"/>
          <w:sz w:val="24"/>
          <w:szCs w:val="24"/>
          <w:lang w:val="en-GB"/>
        </w:rPr>
        <w:t>T</w:t>
      </w:r>
      <w:r w:rsidR="007632C9" w:rsidRPr="00A61D11">
        <w:rPr>
          <w:rFonts w:ascii="Times New Roman" w:hAnsi="Times New Roman"/>
          <w:sz w:val="24"/>
          <w:szCs w:val="24"/>
          <w:lang w:val="en-GB"/>
        </w:rPr>
        <w:t>he Applicants applying in partnership with Donor State entities shall also contribute to the bilateral outcome of the Programme: "Enhanced collaboration between Donor and Beneficiary State entities involved in the Programme”, expressed by the following indicators:</w:t>
      </w:r>
    </w:p>
    <w:tbl>
      <w:tblPr>
        <w:tblStyle w:val="TableGrid"/>
        <w:tblW w:w="0" w:type="auto"/>
        <w:tblInd w:w="360" w:type="dxa"/>
        <w:tblLook w:val="04A0" w:firstRow="1" w:lastRow="0" w:firstColumn="1" w:lastColumn="0" w:noHBand="0" w:noVBand="1"/>
      </w:tblPr>
      <w:tblGrid>
        <w:gridCol w:w="9602"/>
      </w:tblGrid>
      <w:tr w:rsidR="00B55687" w:rsidRPr="006663E2" w14:paraId="41DBCCED" w14:textId="77777777" w:rsidTr="00242A43">
        <w:tc>
          <w:tcPr>
            <w:tcW w:w="9602" w:type="dxa"/>
          </w:tcPr>
          <w:p w14:paraId="00B8853B" w14:textId="342CEB7A" w:rsidR="00B55687" w:rsidRPr="006663E2" w:rsidRDefault="006C5B1F" w:rsidP="00C540E2">
            <w:pPr>
              <w:spacing w:after="120"/>
              <w:jc w:val="both"/>
              <w:rPr>
                <w:rFonts w:ascii="Times New Roman" w:hAnsi="Times New Roman" w:cs="Times New Roman"/>
                <w:b/>
                <w:sz w:val="24"/>
                <w:szCs w:val="24"/>
                <w:lang w:val="en-GB"/>
              </w:rPr>
            </w:pPr>
            <w:r w:rsidRPr="006663E2">
              <w:rPr>
                <w:rFonts w:ascii="Times New Roman" w:hAnsi="Times New Roman" w:cs="Times New Roman"/>
                <w:b/>
                <w:sz w:val="24"/>
                <w:szCs w:val="24"/>
                <w:lang w:val="en-GB"/>
              </w:rPr>
              <w:t xml:space="preserve">Outcome </w:t>
            </w:r>
            <w:r w:rsidR="00B55687" w:rsidRPr="006663E2">
              <w:rPr>
                <w:rFonts w:ascii="Times New Roman" w:hAnsi="Times New Roman" w:cs="Times New Roman"/>
                <w:b/>
                <w:sz w:val="24"/>
                <w:szCs w:val="24"/>
                <w:lang w:val="en-GB"/>
              </w:rPr>
              <w:t>Indicator</w:t>
            </w:r>
            <w:r w:rsidR="007E1968">
              <w:rPr>
                <w:rStyle w:val="FootnoteReference"/>
                <w:rFonts w:ascii="Times New Roman" w:eastAsia="Times New Roman" w:hAnsi="Times New Roman" w:cs="Times New Roman"/>
                <w:color w:val="000000"/>
                <w:sz w:val="24"/>
                <w:szCs w:val="24"/>
                <w:lang w:val="en-GB" w:eastAsia="en-GB"/>
              </w:rPr>
              <w:footnoteReference w:id="2"/>
            </w:r>
          </w:p>
        </w:tc>
      </w:tr>
      <w:tr w:rsidR="006C5B1F" w:rsidRPr="006663E2" w14:paraId="6FAF27CB" w14:textId="77777777" w:rsidTr="00936041">
        <w:tc>
          <w:tcPr>
            <w:tcW w:w="9602" w:type="dxa"/>
            <w:shd w:val="clear" w:color="auto" w:fill="auto"/>
            <w:vAlign w:val="center"/>
          </w:tcPr>
          <w:p w14:paraId="48473AFF" w14:textId="7687008C" w:rsidR="006C5B1F" w:rsidRPr="006663E2" w:rsidRDefault="006C5B1F" w:rsidP="00C540E2">
            <w:pPr>
              <w:pStyle w:val="ListParagraph"/>
              <w:numPr>
                <w:ilvl w:val="1"/>
                <w:numId w:val="3"/>
              </w:numPr>
              <w:tabs>
                <w:tab w:val="left" w:pos="949"/>
              </w:tabs>
              <w:spacing w:after="120"/>
              <w:ind w:left="665" w:hanging="665"/>
              <w:rPr>
                <w:rFonts w:ascii="Times New Roman" w:hAnsi="Times New Roman" w:cs="Times New Roman"/>
                <w:sz w:val="24"/>
                <w:szCs w:val="24"/>
                <w:lang w:val="en-GB"/>
              </w:rPr>
            </w:pPr>
            <w:r w:rsidRPr="006663E2">
              <w:rPr>
                <w:rFonts w:ascii="Times New Roman" w:eastAsia="Times New Roman" w:hAnsi="Times New Roman" w:cs="Times New Roman"/>
                <w:color w:val="000000"/>
                <w:sz w:val="24"/>
                <w:szCs w:val="24"/>
                <w:lang w:val="en-GB" w:eastAsia="en-GB"/>
              </w:rPr>
              <w:t xml:space="preserve">Level of trust between cooperating entities in Beneficiary States and Donor States </w:t>
            </w:r>
          </w:p>
        </w:tc>
      </w:tr>
      <w:tr w:rsidR="006C5B1F" w:rsidRPr="006663E2" w14:paraId="71B5AD4F" w14:textId="77777777" w:rsidTr="00936041">
        <w:tc>
          <w:tcPr>
            <w:tcW w:w="9602" w:type="dxa"/>
            <w:shd w:val="clear" w:color="auto" w:fill="auto"/>
            <w:vAlign w:val="center"/>
          </w:tcPr>
          <w:p w14:paraId="1DB63255" w14:textId="2D704E3A" w:rsidR="006C5B1F" w:rsidRPr="006663E2" w:rsidRDefault="006C5B1F" w:rsidP="00C540E2">
            <w:pPr>
              <w:pStyle w:val="ListParagraph"/>
              <w:numPr>
                <w:ilvl w:val="1"/>
                <w:numId w:val="3"/>
              </w:numPr>
              <w:tabs>
                <w:tab w:val="left" w:pos="949"/>
              </w:tabs>
              <w:spacing w:after="120"/>
              <w:ind w:left="665" w:hanging="665"/>
              <w:rPr>
                <w:rFonts w:ascii="Times New Roman" w:hAnsi="Times New Roman" w:cs="Times New Roman"/>
                <w:sz w:val="24"/>
                <w:szCs w:val="24"/>
                <w:lang w:val="en-GB"/>
              </w:rPr>
            </w:pPr>
            <w:r w:rsidRPr="006663E2">
              <w:rPr>
                <w:rFonts w:ascii="Times New Roman" w:eastAsia="Times New Roman" w:hAnsi="Times New Roman" w:cs="Times New Roman"/>
                <w:color w:val="000000"/>
                <w:sz w:val="24"/>
                <w:szCs w:val="24"/>
                <w:lang w:val="en-GB" w:eastAsia="en-GB"/>
              </w:rPr>
              <w:t xml:space="preserve">Level of satisfaction with the partnership </w:t>
            </w:r>
          </w:p>
        </w:tc>
      </w:tr>
      <w:tr w:rsidR="006C5B1F" w:rsidRPr="006663E2" w14:paraId="0DFC5203" w14:textId="77777777" w:rsidTr="00936041">
        <w:tc>
          <w:tcPr>
            <w:tcW w:w="9602" w:type="dxa"/>
            <w:shd w:val="clear" w:color="auto" w:fill="auto"/>
            <w:vAlign w:val="center"/>
          </w:tcPr>
          <w:p w14:paraId="49B3B38F" w14:textId="3F98D33E" w:rsidR="006C5B1F" w:rsidRPr="006663E2" w:rsidRDefault="006C5B1F" w:rsidP="00C540E2">
            <w:pPr>
              <w:pStyle w:val="ListParagraph"/>
              <w:numPr>
                <w:ilvl w:val="1"/>
                <w:numId w:val="3"/>
              </w:numPr>
              <w:tabs>
                <w:tab w:val="left" w:pos="949"/>
              </w:tabs>
              <w:spacing w:after="120"/>
              <w:ind w:left="665" w:hanging="665"/>
              <w:rPr>
                <w:rFonts w:ascii="Times New Roman" w:hAnsi="Times New Roman" w:cs="Times New Roman"/>
                <w:sz w:val="24"/>
                <w:szCs w:val="24"/>
                <w:lang w:val="en-GB"/>
              </w:rPr>
            </w:pPr>
            <w:r w:rsidRPr="006663E2">
              <w:rPr>
                <w:rFonts w:ascii="Times New Roman" w:eastAsia="Times New Roman" w:hAnsi="Times New Roman" w:cs="Times New Roman"/>
                <w:color w:val="000000"/>
                <w:sz w:val="24"/>
                <w:szCs w:val="24"/>
                <w:lang w:val="en-GB" w:eastAsia="en-GB"/>
              </w:rPr>
              <w:t xml:space="preserve">Share of cooperating organisations that apply the knowledge acquired from bilateral partnership </w:t>
            </w:r>
          </w:p>
        </w:tc>
      </w:tr>
      <w:tr w:rsidR="006C5B1F" w:rsidRPr="006663E2" w14:paraId="053DB47F" w14:textId="77777777" w:rsidTr="00936041">
        <w:tc>
          <w:tcPr>
            <w:tcW w:w="9602" w:type="dxa"/>
            <w:shd w:val="clear" w:color="auto" w:fill="auto"/>
            <w:vAlign w:val="center"/>
          </w:tcPr>
          <w:p w14:paraId="15875E6A" w14:textId="0507EC3F" w:rsidR="006C5B1F" w:rsidRPr="006663E2" w:rsidRDefault="006C5B1F" w:rsidP="00C540E2">
            <w:pPr>
              <w:tabs>
                <w:tab w:val="left" w:pos="949"/>
              </w:tabs>
              <w:spacing w:after="120"/>
              <w:rPr>
                <w:rFonts w:ascii="Times New Roman" w:eastAsia="Times New Roman" w:hAnsi="Times New Roman" w:cs="Times New Roman"/>
                <w:b/>
                <w:color w:val="000000"/>
                <w:sz w:val="24"/>
                <w:szCs w:val="24"/>
                <w:lang w:val="en-GB" w:eastAsia="en-GB"/>
              </w:rPr>
            </w:pPr>
            <w:r w:rsidRPr="006663E2">
              <w:rPr>
                <w:rFonts w:ascii="Times New Roman" w:eastAsia="Times New Roman" w:hAnsi="Times New Roman" w:cs="Times New Roman"/>
                <w:b/>
                <w:color w:val="000000"/>
                <w:sz w:val="24"/>
                <w:szCs w:val="24"/>
                <w:lang w:val="en-GB" w:eastAsia="en-GB"/>
              </w:rPr>
              <w:t>Output indicator</w:t>
            </w:r>
          </w:p>
        </w:tc>
      </w:tr>
      <w:tr w:rsidR="006C5B1F" w:rsidRPr="006663E2" w14:paraId="080131BA" w14:textId="77777777" w:rsidTr="00936041">
        <w:tc>
          <w:tcPr>
            <w:tcW w:w="9602" w:type="dxa"/>
            <w:shd w:val="clear" w:color="auto" w:fill="auto"/>
            <w:vAlign w:val="center"/>
          </w:tcPr>
          <w:p w14:paraId="62057FB5" w14:textId="6C028C1D" w:rsidR="006C5B1F" w:rsidRPr="006663E2" w:rsidRDefault="006C5B1F" w:rsidP="00C540E2">
            <w:pPr>
              <w:pStyle w:val="ListParagraph"/>
              <w:numPr>
                <w:ilvl w:val="1"/>
                <w:numId w:val="3"/>
              </w:numPr>
              <w:tabs>
                <w:tab w:val="left" w:pos="949"/>
              </w:tabs>
              <w:spacing w:after="120"/>
              <w:ind w:left="665" w:hanging="665"/>
              <w:rPr>
                <w:rFonts w:ascii="Times New Roman" w:eastAsia="Times New Roman" w:hAnsi="Times New Roman" w:cs="Times New Roman"/>
                <w:color w:val="000000"/>
                <w:sz w:val="24"/>
                <w:szCs w:val="24"/>
                <w:lang w:val="en-GB" w:eastAsia="en-GB"/>
              </w:rPr>
            </w:pPr>
            <w:r w:rsidRPr="006663E2">
              <w:rPr>
                <w:rFonts w:ascii="Times New Roman" w:eastAsia="Times New Roman" w:hAnsi="Times New Roman" w:cs="Times New Roman"/>
                <w:color w:val="000000"/>
                <w:sz w:val="24"/>
                <w:szCs w:val="24"/>
                <w:lang w:val="en-GB" w:eastAsia="en-GB"/>
              </w:rPr>
              <w:t xml:space="preserve">Number of participants from Beneficiary States in exchanges </w:t>
            </w:r>
          </w:p>
        </w:tc>
      </w:tr>
      <w:tr w:rsidR="006C5B1F" w:rsidRPr="006663E2" w14:paraId="4940F028" w14:textId="77777777" w:rsidTr="00936041">
        <w:tc>
          <w:tcPr>
            <w:tcW w:w="9602" w:type="dxa"/>
            <w:shd w:val="clear" w:color="auto" w:fill="auto"/>
            <w:vAlign w:val="center"/>
          </w:tcPr>
          <w:p w14:paraId="731A0BBB" w14:textId="27B52B00" w:rsidR="006C5B1F" w:rsidRPr="006663E2" w:rsidRDefault="006C5B1F" w:rsidP="00C540E2">
            <w:pPr>
              <w:pStyle w:val="ListParagraph"/>
              <w:numPr>
                <w:ilvl w:val="1"/>
                <w:numId w:val="3"/>
              </w:numPr>
              <w:tabs>
                <w:tab w:val="left" w:pos="949"/>
              </w:tabs>
              <w:spacing w:after="120"/>
              <w:ind w:left="665" w:hanging="665"/>
              <w:rPr>
                <w:rFonts w:ascii="Times New Roman" w:eastAsia="Times New Roman" w:hAnsi="Times New Roman" w:cs="Times New Roman"/>
                <w:color w:val="000000"/>
                <w:sz w:val="24"/>
                <w:szCs w:val="24"/>
                <w:lang w:val="en-GB" w:eastAsia="en-GB"/>
              </w:rPr>
            </w:pPr>
            <w:r w:rsidRPr="006663E2">
              <w:rPr>
                <w:rFonts w:ascii="Times New Roman" w:eastAsia="Times New Roman" w:hAnsi="Times New Roman" w:cs="Times New Roman"/>
                <w:color w:val="000000"/>
                <w:sz w:val="24"/>
                <w:szCs w:val="24"/>
                <w:lang w:val="en-GB" w:eastAsia="en-GB"/>
              </w:rPr>
              <w:t xml:space="preserve">Number of participants from Donor States in exchanges </w:t>
            </w:r>
          </w:p>
        </w:tc>
      </w:tr>
      <w:tr w:rsidR="006C5B1F" w:rsidRPr="006663E2" w14:paraId="26F4DC19" w14:textId="77777777" w:rsidTr="00936041">
        <w:tc>
          <w:tcPr>
            <w:tcW w:w="9602" w:type="dxa"/>
            <w:shd w:val="clear" w:color="auto" w:fill="auto"/>
            <w:vAlign w:val="center"/>
          </w:tcPr>
          <w:p w14:paraId="13B52263" w14:textId="67D6C674" w:rsidR="006C5B1F" w:rsidRPr="006663E2" w:rsidRDefault="006C5B1F" w:rsidP="00C540E2">
            <w:pPr>
              <w:pStyle w:val="ListParagraph"/>
              <w:numPr>
                <w:ilvl w:val="1"/>
                <w:numId w:val="3"/>
              </w:numPr>
              <w:tabs>
                <w:tab w:val="left" w:pos="949"/>
              </w:tabs>
              <w:spacing w:after="120"/>
              <w:ind w:left="665" w:hanging="665"/>
              <w:rPr>
                <w:rFonts w:ascii="Times New Roman" w:eastAsia="Times New Roman" w:hAnsi="Times New Roman" w:cs="Times New Roman"/>
                <w:color w:val="000000"/>
                <w:sz w:val="24"/>
                <w:szCs w:val="24"/>
                <w:lang w:val="en-GB" w:eastAsia="en-GB"/>
              </w:rPr>
            </w:pPr>
            <w:r w:rsidRPr="006663E2">
              <w:rPr>
                <w:rFonts w:ascii="Times New Roman" w:eastAsia="Times New Roman" w:hAnsi="Times New Roman" w:cs="Times New Roman"/>
                <w:color w:val="000000"/>
                <w:sz w:val="24"/>
                <w:szCs w:val="24"/>
                <w:lang w:val="en-GB" w:eastAsia="en-GB"/>
              </w:rPr>
              <w:t xml:space="preserve">Number of projects involving cooperation with a Donor Project Partner </w:t>
            </w:r>
          </w:p>
        </w:tc>
      </w:tr>
    </w:tbl>
    <w:p w14:paraId="7F5F2E01" w14:textId="7AB0E274" w:rsidR="000E177A" w:rsidRDefault="000E177A"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A methodology for calculating monitoring indicators is provided in Annex </w:t>
      </w:r>
      <w:r w:rsidR="00D45FF2" w:rsidRPr="006663E2">
        <w:rPr>
          <w:rFonts w:ascii="Times New Roman" w:hAnsi="Times New Roman" w:cs="Times New Roman"/>
          <w:sz w:val="24"/>
          <w:szCs w:val="24"/>
          <w:lang w:val="en-GB"/>
        </w:rPr>
        <w:t>6</w:t>
      </w:r>
      <w:r w:rsidRPr="006663E2">
        <w:rPr>
          <w:rFonts w:ascii="Times New Roman" w:hAnsi="Times New Roman" w:cs="Times New Roman"/>
          <w:sz w:val="24"/>
          <w:szCs w:val="24"/>
          <w:lang w:val="en-GB"/>
        </w:rPr>
        <w:t xml:space="preserve"> to the Guidelines.</w:t>
      </w:r>
    </w:p>
    <w:p w14:paraId="23B0C648" w14:textId="35D99EAC" w:rsidR="006663E2" w:rsidRPr="006663E2" w:rsidRDefault="006663E2" w:rsidP="009048BB">
      <w:pPr>
        <w:pStyle w:val="ListParagraph"/>
        <w:spacing w:after="120" w:line="240" w:lineRule="auto"/>
        <w:ind w:left="792"/>
        <w:jc w:val="both"/>
        <w:rPr>
          <w:rFonts w:ascii="Times New Roman" w:hAnsi="Times New Roman" w:cs="Times New Roman"/>
          <w:sz w:val="24"/>
          <w:szCs w:val="24"/>
          <w:lang w:val="en-GB"/>
        </w:rPr>
      </w:pPr>
    </w:p>
    <w:p w14:paraId="0174D00F" w14:textId="4C9DF14F" w:rsidR="000E177A" w:rsidRPr="006663E2" w:rsidRDefault="00D45FF2"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A maximum of 30</w:t>
      </w:r>
      <w:r w:rsidR="000E177A" w:rsidRPr="006663E2">
        <w:rPr>
          <w:rFonts w:ascii="Times New Roman" w:hAnsi="Times New Roman" w:cs="Times New Roman"/>
          <w:sz w:val="24"/>
          <w:szCs w:val="24"/>
          <w:lang w:val="en-GB"/>
        </w:rPr>
        <w:t xml:space="preserve"> months shall be planned for the implementation of project activities. During the implementation of the project, the project activities may be extended in presence of duly justified reasons, but not longer than till 30 April 2024.</w:t>
      </w:r>
    </w:p>
    <w:p w14:paraId="795E6DF1" w14:textId="01CC61B1" w:rsidR="000E177A" w:rsidRPr="006663E2" w:rsidRDefault="000E177A"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project shall be prepared in observance of the principles of </w:t>
      </w:r>
      <w:r w:rsidRPr="006663E2">
        <w:rPr>
          <w:rFonts w:ascii="Times New Roman" w:hAnsi="Times New Roman" w:cs="Times New Roman"/>
          <w:b/>
          <w:bCs/>
          <w:sz w:val="24"/>
          <w:szCs w:val="24"/>
          <w:lang w:val="en-GB"/>
        </w:rPr>
        <w:t xml:space="preserve">good </w:t>
      </w:r>
      <w:r w:rsidR="007E745F" w:rsidRPr="006663E2">
        <w:rPr>
          <w:rFonts w:ascii="Times New Roman" w:hAnsi="Times New Roman" w:cs="Times New Roman"/>
          <w:b/>
          <w:bCs/>
          <w:sz w:val="24"/>
          <w:szCs w:val="24"/>
          <w:lang w:val="en-GB"/>
        </w:rPr>
        <w:t>governance</w:t>
      </w:r>
      <w:r w:rsidRPr="006663E2">
        <w:rPr>
          <w:rFonts w:ascii="Times New Roman" w:hAnsi="Times New Roman" w:cs="Times New Roman"/>
          <w:sz w:val="24"/>
          <w:szCs w:val="24"/>
          <w:lang w:val="en-GB"/>
        </w:rPr>
        <w:t xml:space="preserve"> (accountability, transparency, participation, equality, rule of law, skills, competence and sensitivity to human needs shall be ensured in the implementation of the project), </w:t>
      </w:r>
      <w:r w:rsidRPr="006663E2">
        <w:rPr>
          <w:rFonts w:ascii="Times New Roman" w:hAnsi="Times New Roman" w:cs="Times New Roman"/>
          <w:b/>
          <w:bCs/>
          <w:sz w:val="24"/>
          <w:szCs w:val="24"/>
          <w:lang w:val="en-GB"/>
        </w:rPr>
        <w:t>sustainable development</w:t>
      </w:r>
      <w:r w:rsidRPr="006663E2">
        <w:rPr>
          <w:rFonts w:ascii="Times New Roman" w:hAnsi="Times New Roman" w:cs="Times New Roman"/>
          <w:sz w:val="24"/>
          <w:szCs w:val="24"/>
          <w:lang w:val="en-GB"/>
        </w:rPr>
        <w:t xml:space="preserve"> (alignment of economic, social development and enviro</w:t>
      </w:r>
      <w:bookmarkStart w:id="7" w:name="_GoBack"/>
      <w:bookmarkEnd w:id="7"/>
      <w:r w:rsidRPr="006663E2">
        <w:rPr>
          <w:rFonts w:ascii="Times New Roman" w:hAnsi="Times New Roman" w:cs="Times New Roman"/>
          <w:sz w:val="24"/>
          <w:szCs w:val="24"/>
          <w:lang w:val="en-GB"/>
        </w:rPr>
        <w:t xml:space="preserve">nmental protection objectives, taking into account their complex interdependence and the expected effects of their implementation) and </w:t>
      </w:r>
      <w:r w:rsidRPr="006663E2">
        <w:rPr>
          <w:rFonts w:ascii="Times New Roman" w:hAnsi="Times New Roman" w:cs="Times New Roman"/>
          <w:b/>
          <w:bCs/>
          <w:sz w:val="24"/>
          <w:szCs w:val="24"/>
          <w:lang w:val="en-GB"/>
        </w:rPr>
        <w:t>gender equality and equal opportunities</w:t>
      </w:r>
      <w:r w:rsidRPr="006663E2">
        <w:rPr>
          <w:rFonts w:ascii="Times New Roman" w:hAnsi="Times New Roman" w:cs="Times New Roman"/>
          <w:sz w:val="24"/>
          <w:szCs w:val="24"/>
          <w:lang w:val="en-GB"/>
        </w:rPr>
        <w:t xml:space="preserve"> (ensuring equal opportunities for women and men and the elimination of any discrimination based on ethnic or racial origin, age, disability, sexual orientation, religion or </w:t>
      </w:r>
      <w:r w:rsidR="007E745F" w:rsidRPr="006663E2">
        <w:rPr>
          <w:rFonts w:ascii="Times New Roman" w:hAnsi="Times New Roman" w:cs="Times New Roman"/>
          <w:sz w:val="24"/>
          <w:szCs w:val="24"/>
          <w:lang w:val="en-GB"/>
        </w:rPr>
        <w:t>views</w:t>
      </w:r>
      <w:r w:rsidRPr="006663E2">
        <w:rPr>
          <w:rFonts w:ascii="Times New Roman" w:hAnsi="Times New Roman" w:cs="Times New Roman"/>
          <w:sz w:val="24"/>
          <w:szCs w:val="24"/>
          <w:lang w:val="en-GB"/>
        </w:rPr>
        <w:t>). The</w:t>
      </w:r>
      <w:r w:rsidR="00F0464B" w:rsidRPr="006663E2">
        <w:rPr>
          <w:rFonts w:ascii="Times New Roman" w:hAnsi="Times New Roman" w:cs="Times New Roman"/>
          <w:sz w:val="24"/>
          <w:szCs w:val="24"/>
          <w:lang w:val="en-GB"/>
        </w:rPr>
        <w:t xml:space="preserve"> project cannot have an adverse</w:t>
      </w:r>
      <w:r w:rsidRPr="006663E2">
        <w:rPr>
          <w:rFonts w:ascii="Times New Roman" w:hAnsi="Times New Roman" w:cs="Times New Roman"/>
          <w:sz w:val="24"/>
          <w:szCs w:val="24"/>
          <w:lang w:val="en-GB"/>
        </w:rPr>
        <w:t xml:space="preserve"> impact on these principles.</w:t>
      </w:r>
    </w:p>
    <w:p w14:paraId="36ACB3FC" w14:textId="2DC55C20" w:rsidR="000E177A" w:rsidRPr="006663E2" w:rsidRDefault="000E177A"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project </w:t>
      </w:r>
      <w:r w:rsidR="00F0464B" w:rsidRPr="006663E2">
        <w:rPr>
          <w:rFonts w:ascii="Times New Roman" w:hAnsi="Times New Roman" w:cs="Times New Roman"/>
          <w:sz w:val="24"/>
          <w:szCs w:val="24"/>
          <w:lang w:val="en-GB"/>
        </w:rPr>
        <w:t>shall</w:t>
      </w:r>
      <w:r w:rsidRPr="006663E2">
        <w:rPr>
          <w:rFonts w:ascii="Times New Roman" w:hAnsi="Times New Roman" w:cs="Times New Roman"/>
          <w:sz w:val="24"/>
          <w:szCs w:val="24"/>
          <w:lang w:val="en-GB"/>
        </w:rPr>
        <w:t xml:space="preserve"> meet the </w:t>
      </w:r>
      <w:r w:rsidR="00F0464B" w:rsidRPr="006663E2">
        <w:rPr>
          <w:rFonts w:ascii="Times New Roman" w:hAnsi="Times New Roman" w:cs="Times New Roman"/>
          <w:sz w:val="24"/>
          <w:szCs w:val="24"/>
          <w:lang w:val="en-GB"/>
        </w:rPr>
        <w:t xml:space="preserve">set </w:t>
      </w:r>
      <w:r w:rsidR="00B55687" w:rsidRPr="006663E2">
        <w:rPr>
          <w:rFonts w:ascii="Times New Roman" w:hAnsi="Times New Roman" w:cs="Times New Roman"/>
          <w:sz w:val="24"/>
          <w:szCs w:val="24"/>
          <w:lang w:val="en-GB"/>
        </w:rPr>
        <w:t xml:space="preserve">project </w:t>
      </w:r>
      <w:r w:rsidR="008D2C56" w:rsidRPr="006663E2">
        <w:rPr>
          <w:rFonts w:ascii="Times New Roman" w:hAnsi="Times New Roman" w:cs="Times New Roman"/>
          <w:sz w:val="24"/>
          <w:szCs w:val="24"/>
          <w:lang w:val="en-GB"/>
        </w:rPr>
        <w:t xml:space="preserve">administrative criteria, </w:t>
      </w:r>
      <w:r w:rsidRPr="006663E2">
        <w:rPr>
          <w:rFonts w:ascii="Times New Roman" w:hAnsi="Times New Roman" w:cs="Times New Roman"/>
          <w:sz w:val="24"/>
          <w:szCs w:val="24"/>
          <w:lang w:val="en-GB"/>
        </w:rPr>
        <w:t xml:space="preserve">general </w:t>
      </w:r>
      <w:r w:rsidR="00B55687" w:rsidRPr="006663E2">
        <w:rPr>
          <w:rFonts w:ascii="Times New Roman" w:hAnsi="Times New Roman" w:cs="Times New Roman"/>
          <w:sz w:val="24"/>
          <w:szCs w:val="24"/>
          <w:lang w:val="en-GB"/>
        </w:rPr>
        <w:t xml:space="preserve">project selection </w:t>
      </w:r>
      <w:r w:rsidR="00924EF9" w:rsidRPr="006663E2">
        <w:rPr>
          <w:rFonts w:ascii="Times New Roman" w:hAnsi="Times New Roman" w:cs="Times New Roman"/>
          <w:sz w:val="24"/>
          <w:szCs w:val="24"/>
          <w:lang w:val="en-GB"/>
        </w:rPr>
        <w:t xml:space="preserve">criteria </w:t>
      </w:r>
      <w:r w:rsidRPr="006663E2">
        <w:rPr>
          <w:rFonts w:ascii="Times New Roman" w:hAnsi="Times New Roman" w:cs="Times New Roman"/>
          <w:sz w:val="24"/>
          <w:szCs w:val="24"/>
          <w:lang w:val="en-GB"/>
        </w:rPr>
        <w:t xml:space="preserve">and specific project </w:t>
      </w:r>
      <w:r w:rsidR="00924EF9" w:rsidRPr="006663E2">
        <w:rPr>
          <w:rFonts w:ascii="Times New Roman" w:hAnsi="Times New Roman" w:cs="Times New Roman"/>
          <w:sz w:val="24"/>
          <w:szCs w:val="24"/>
          <w:lang w:val="en-GB"/>
        </w:rPr>
        <w:t xml:space="preserve">compliance </w:t>
      </w:r>
      <w:r w:rsidR="00F0464B" w:rsidRPr="006663E2">
        <w:rPr>
          <w:rFonts w:ascii="Times New Roman" w:hAnsi="Times New Roman" w:cs="Times New Roman"/>
          <w:sz w:val="24"/>
          <w:szCs w:val="24"/>
          <w:lang w:val="en-GB"/>
        </w:rPr>
        <w:t>criteria</w:t>
      </w:r>
      <w:r w:rsidR="00924EF9" w:rsidRPr="006663E2">
        <w:rPr>
          <w:rFonts w:ascii="Times New Roman" w:hAnsi="Times New Roman" w:cs="Times New Roman"/>
          <w:sz w:val="24"/>
          <w:szCs w:val="24"/>
          <w:lang w:val="en-GB"/>
        </w:rPr>
        <w:t xml:space="preserve"> (project eligibility criteria) </w:t>
      </w:r>
      <w:r w:rsidRPr="006663E2">
        <w:rPr>
          <w:rFonts w:ascii="Times New Roman" w:hAnsi="Times New Roman" w:cs="Times New Roman"/>
          <w:sz w:val="24"/>
          <w:szCs w:val="24"/>
          <w:lang w:val="en-GB"/>
        </w:rPr>
        <w:t xml:space="preserve">and </w:t>
      </w:r>
      <w:r w:rsidR="00924EF9" w:rsidRPr="006663E2">
        <w:rPr>
          <w:rFonts w:ascii="Times New Roman" w:hAnsi="Times New Roman" w:cs="Times New Roman"/>
          <w:sz w:val="24"/>
          <w:szCs w:val="24"/>
          <w:lang w:val="en-GB"/>
        </w:rPr>
        <w:t xml:space="preserve">shall </w:t>
      </w:r>
      <w:r w:rsidRPr="006663E2">
        <w:rPr>
          <w:rFonts w:ascii="Times New Roman" w:hAnsi="Times New Roman" w:cs="Times New Roman"/>
          <w:sz w:val="24"/>
          <w:szCs w:val="24"/>
          <w:lang w:val="en-GB"/>
        </w:rPr>
        <w:t xml:space="preserve">aim to meet the specific </w:t>
      </w:r>
      <w:r w:rsidRPr="006663E2">
        <w:rPr>
          <w:rFonts w:ascii="Times New Roman" w:hAnsi="Times New Roman" w:cs="Times New Roman"/>
          <w:sz w:val="24"/>
          <w:szCs w:val="24"/>
          <w:lang w:val="en-GB"/>
        </w:rPr>
        <w:lastRenderedPageBreak/>
        <w:t xml:space="preserve">priority project selection criteria (benefit and quality) </w:t>
      </w:r>
      <w:r w:rsidR="00F0464B" w:rsidRPr="006663E2">
        <w:rPr>
          <w:rFonts w:ascii="Times New Roman" w:hAnsi="Times New Roman" w:cs="Times New Roman"/>
          <w:sz w:val="24"/>
          <w:szCs w:val="24"/>
          <w:lang w:val="en-GB"/>
        </w:rPr>
        <w:t>laid down in A</w:t>
      </w:r>
      <w:r w:rsidRPr="006663E2">
        <w:rPr>
          <w:rFonts w:ascii="Times New Roman" w:hAnsi="Times New Roman" w:cs="Times New Roman"/>
          <w:sz w:val="24"/>
          <w:szCs w:val="24"/>
          <w:lang w:val="en-GB"/>
        </w:rPr>
        <w:t xml:space="preserve">nnexes </w:t>
      </w:r>
      <w:r w:rsidR="006C5B1F" w:rsidRPr="006663E2">
        <w:rPr>
          <w:rFonts w:ascii="Times New Roman" w:hAnsi="Times New Roman" w:cs="Times New Roman"/>
          <w:sz w:val="24"/>
          <w:szCs w:val="24"/>
          <w:lang w:val="en-GB"/>
        </w:rPr>
        <w:t>3</w:t>
      </w:r>
      <w:r w:rsidRPr="006663E2">
        <w:rPr>
          <w:rFonts w:ascii="Times New Roman" w:hAnsi="Times New Roman" w:cs="Times New Roman"/>
          <w:sz w:val="24"/>
          <w:szCs w:val="24"/>
          <w:lang w:val="en-GB"/>
        </w:rPr>
        <w:t xml:space="preserve">, </w:t>
      </w:r>
      <w:r w:rsidR="006C5B1F" w:rsidRPr="006663E2">
        <w:rPr>
          <w:rFonts w:ascii="Times New Roman" w:hAnsi="Times New Roman" w:cs="Times New Roman"/>
          <w:sz w:val="24"/>
          <w:szCs w:val="24"/>
          <w:lang w:val="en-GB"/>
        </w:rPr>
        <w:t>4</w:t>
      </w:r>
      <w:r w:rsidRPr="006663E2">
        <w:rPr>
          <w:rFonts w:ascii="Times New Roman" w:hAnsi="Times New Roman" w:cs="Times New Roman"/>
          <w:sz w:val="24"/>
          <w:szCs w:val="24"/>
          <w:lang w:val="en-GB"/>
        </w:rPr>
        <w:t xml:space="preserve"> and </w:t>
      </w:r>
      <w:r w:rsidR="006C5B1F" w:rsidRPr="006663E2">
        <w:rPr>
          <w:rFonts w:ascii="Times New Roman" w:hAnsi="Times New Roman" w:cs="Times New Roman"/>
          <w:sz w:val="24"/>
          <w:szCs w:val="24"/>
          <w:lang w:val="en-GB"/>
        </w:rPr>
        <w:t>5</w:t>
      </w:r>
      <w:r w:rsidRPr="006663E2">
        <w:rPr>
          <w:rFonts w:ascii="Times New Roman" w:hAnsi="Times New Roman" w:cs="Times New Roman"/>
          <w:sz w:val="24"/>
          <w:szCs w:val="24"/>
          <w:lang w:val="en-GB"/>
        </w:rPr>
        <w:t xml:space="preserve"> </w:t>
      </w:r>
      <w:r w:rsidR="007E745F" w:rsidRPr="006663E2">
        <w:rPr>
          <w:rFonts w:ascii="Times New Roman" w:hAnsi="Times New Roman" w:cs="Times New Roman"/>
          <w:sz w:val="24"/>
          <w:szCs w:val="24"/>
          <w:lang w:val="en-GB"/>
        </w:rPr>
        <w:t>to</w:t>
      </w:r>
      <w:r w:rsidRPr="006663E2">
        <w:rPr>
          <w:rFonts w:ascii="Times New Roman" w:hAnsi="Times New Roman" w:cs="Times New Roman"/>
          <w:sz w:val="24"/>
          <w:szCs w:val="24"/>
          <w:lang w:val="en-GB"/>
        </w:rPr>
        <w:t xml:space="preserve"> the Guidelines</w:t>
      </w:r>
      <w:r w:rsidR="00924EF9" w:rsidRPr="006663E2">
        <w:rPr>
          <w:rFonts w:ascii="Times New Roman" w:hAnsi="Times New Roman" w:cs="Times New Roman"/>
          <w:sz w:val="24"/>
          <w:szCs w:val="24"/>
          <w:lang w:val="en-GB"/>
        </w:rPr>
        <w:t>.</w:t>
      </w:r>
    </w:p>
    <w:p w14:paraId="4F9822D5" w14:textId="2E9D280A" w:rsidR="00B5045A" w:rsidRPr="006663E2" w:rsidRDefault="00F0464B"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w:t>
      </w:r>
      <w:r w:rsidR="000E177A" w:rsidRPr="006663E2">
        <w:rPr>
          <w:rFonts w:ascii="Times New Roman" w:hAnsi="Times New Roman" w:cs="Times New Roman"/>
          <w:sz w:val="24"/>
          <w:szCs w:val="24"/>
          <w:lang w:val="en-GB"/>
        </w:rPr>
        <w:t xml:space="preserve">he project </w:t>
      </w:r>
      <w:r w:rsidRPr="006663E2">
        <w:rPr>
          <w:rFonts w:ascii="Times New Roman" w:hAnsi="Times New Roman" w:cs="Times New Roman"/>
          <w:sz w:val="24"/>
          <w:szCs w:val="24"/>
          <w:lang w:val="en-GB"/>
        </w:rPr>
        <w:t>shall</w:t>
      </w:r>
      <w:r w:rsidR="000E177A" w:rsidRPr="006663E2">
        <w:rPr>
          <w:rFonts w:ascii="Times New Roman" w:hAnsi="Times New Roman" w:cs="Times New Roman"/>
          <w:sz w:val="24"/>
          <w:szCs w:val="24"/>
          <w:lang w:val="en-GB"/>
        </w:rPr>
        <w:t xml:space="preserve"> be non-profit-making</w:t>
      </w:r>
      <w:r w:rsidR="007E745F" w:rsidRPr="006663E2">
        <w:rPr>
          <w:rFonts w:ascii="Times New Roman" w:hAnsi="Times New Roman" w:cs="Times New Roman"/>
          <w:sz w:val="24"/>
          <w:szCs w:val="24"/>
          <w:lang w:val="en-GB"/>
        </w:rPr>
        <w:t>,</w:t>
      </w:r>
      <w:r w:rsidR="000E177A"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aimed at serving</w:t>
      </w:r>
      <w:r w:rsidR="000E177A" w:rsidRPr="006663E2">
        <w:rPr>
          <w:rFonts w:ascii="Times New Roman" w:hAnsi="Times New Roman" w:cs="Times New Roman"/>
          <w:sz w:val="24"/>
          <w:szCs w:val="24"/>
          <w:lang w:val="en-GB"/>
        </w:rPr>
        <w:t xml:space="preserve"> the public interest (pursuing </w:t>
      </w:r>
      <w:r w:rsidRPr="006663E2">
        <w:rPr>
          <w:rFonts w:ascii="Times New Roman" w:hAnsi="Times New Roman" w:cs="Times New Roman"/>
          <w:sz w:val="24"/>
          <w:szCs w:val="24"/>
          <w:lang w:val="en-GB"/>
        </w:rPr>
        <w:t xml:space="preserve">goals important to the society rather than </w:t>
      </w:r>
      <w:r w:rsidR="000E177A" w:rsidRPr="006663E2">
        <w:rPr>
          <w:rFonts w:ascii="Times New Roman" w:hAnsi="Times New Roman" w:cs="Times New Roman"/>
          <w:sz w:val="24"/>
          <w:szCs w:val="24"/>
          <w:lang w:val="en-GB"/>
        </w:rPr>
        <w:t xml:space="preserve">a commercial interest or satisfaction of </w:t>
      </w:r>
      <w:r w:rsidRPr="006663E2">
        <w:rPr>
          <w:rFonts w:ascii="Times New Roman" w:hAnsi="Times New Roman" w:cs="Times New Roman"/>
          <w:sz w:val="24"/>
          <w:szCs w:val="24"/>
          <w:lang w:val="en-GB"/>
        </w:rPr>
        <w:t xml:space="preserve">needs of </w:t>
      </w:r>
      <w:r w:rsidR="000E177A" w:rsidRPr="006663E2">
        <w:rPr>
          <w:rFonts w:ascii="Times New Roman" w:hAnsi="Times New Roman" w:cs="Times New Roman"/>
          <w:sz w:val="24"/>
          <w:szCs w:val="24"/>
          <w:lang w:val="en-GB"/>
        </w:rPr>
        <w:t>a single person (legal or private</w:t>
      </w:r>
      <w:r w:rsidR="00D1537A" w:rsidRPr="006663E2">
        <w:rPr>
          <w:rFonts w:ascii="Times New Roman" w:hAnsi="Times New Roman" w:cs="Times New Roman"/>
          <w:sz w:val="24"/>
          <w:szCs w:val="24"/>
          <w:lang w:val="en-GB"/>
        </w:rPr>
        <w:t>).</w:t>
      </w:r>
    </w:p>
    <w:p w14:paraId="41448BF4" w14:textId="5F2B2C4A" w:rsidR="004633B4" w:rsidRPr="006663E2" w:rsidRDefault="004633B4" w:rsidP="00C540E2">
      <w:pPr>
        <w:pStyle w:val="ListParagraph"/>
        <w:spacing w:after="120" w:line="240" w:lineRule="auto"/>
        <w:ind w:left="360"/>
        <w:jc w:val="both"/>
        <w:rPr>
          <w:rFonts w:ascii="Times New Roman" w:hAnsi="Times New Roman" w:cs="Times New Roman"/>
          <w:sz w:val="24"/>
          <w:szCs w:val="24"/>
          <w:lang w:val="en-GB"/>
        </w:rPr>
      </w:pPr>
    </w:p>
    <w:p w14:paraId="4F01D79D" w14:textId="4E85430B" w:rsidR="004B2DB9" w:rsidRPr="006663E2" w:rsidRDefault="001E77E2"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6663E2">
        <w:rPr>
          <w:rFonts w:ascii="Times New Roman" w:hAnsi="Times New Roman" w:cs="Times New Roman"/>
          <w:b/>
          <w:bCs/>
          <w:caps/>
          <w:sz w:val="24"/>
          <w:szCs w:val="24"/>
          <w:lang w:val="en-GB"/>
        </w:rPr>
        <w:t xml:space="preserve">Requirements for the provision of </w:t>
      </w:r>
      <w:r w:rsidR="004B2DB9" w:rsidRPr="006663E2">
        <w:rPr>
          <w:rFonts w:ascii="Times New Roman" w:hAnsi="Times New Roman" w:cs="Times New Roman"/>
          <w:b/>
          <w:bCs/>
          <w:i/>
          <w:caps/>
          <w:sz w:val="24"/>
          <w:szCs w:val="24"/>
          <w:lang w:val="en-GB"/>
        </w:rPr>
        <w:t>DE MINIMIS</w:t>
      </w:r>
      <w:r w:rsidRPr="006663E2">
        <w:rPr>
          <w:rFonts w:ascii="Times New Roman" w:hAnsi="Times New Roman" w:cs="Times New Roman"/>
          <w:b/>
          <w:bCs/>
          <w:caps/>
          <w:sz w:val="24"/>
          <w:szCs w:val="24"/>
          <w:lang w:val="en-GB"/>
        </w:rPr>
        <w:t xml:space="preserve"> aid</w:t>
      </w:r>
    </w:p>
    <w:p w14:paraId="2D1D31DC" w14:textId="77777777" w:rsidR="004633B4" w:rsidRPr="006663E2" w:rsidRDefault="004633B4" w:rsidP="00C540E2">
      <w:pPr>
        <w:pStyle w:val="ListParagraph"/>
        <w:spacing w:after="120" w:line="240" w:lineRule="auto"/>
        <w:ind w:left="1080"/>
        <w:rPr>
          <w:rFonts w:ascii="Times New Roman" w:hAnsi="Times New Roman" w:cs="Times New Roman"/>
          <w:b/>
          <w:bCs/>
          <w:sz w:val="24"/>
          <w:szCs w:val="24"/>
          <w:lang w:val="en-GB"/>
        </w:rPr>
      </w:pPr>
    </w:p>
    <w:p w14:paraId="547F6703" w14:textId="6453ABF9" w:rsidR="004633B4" w:rsidRPr="006663E2" w:rsidRDefault="001E243D" w:rsidP="00C540E2">
      <w:pPr>
        <w:pStyle w:val="ListParagraph"/>
        <w:numPr>
          <w:ilvl w:val="0"/>
          <w:numId w:val="3"/>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According to the Guidelines, </w:t>
      </w:r>
      <w:r w:rsidRPr="006663E2">
        <w:rPr>
          <w:rFonts w:ascii="Times New Roman" w:hAnsi="Times New Roman" w:cs="Times New Roman"/>
          <w:i/>
          <w:iCs/>
          <w:sz w:val="24"/>
          <w:szCs w:val="24"/>
          <w:lang w:val="en-GB"/>
        </w:rPr>
        <w:t>de minimis</w:t>
      </w:r>
      <w:r w:rsidRPr="006663E2">
        <w:rPr>
          <w:rFonts w:ascii="Times New Roman" w:hAnsi="Times New Roman" w:cs="Times New Roman"/>
          <w:sz w:val="24"/>
          <w:szCs w:val="24"/>
          <w:lang w:val="en-GB"/>
        </w:rPr>
        <w:t xml:space="preserve"> aid</w:t>
      </w:r>
      <w:r w:rsidR="006C5B1F" w:rsidRPr="006663E2">
        <w:rPr>
          <w:rFonts w:ascii="Times New Roman" w:hAnsi="Times New Roman" w:cs="Times New Roman"/>
          <w:sz w:val="24"/>
          <w:szCs w:val="24"/>
          <w:lang w:val="en-GB"/>
        </w:rPr>
        <w:t xml:space="preserve"> is not provided. </w:t>
      </w:r>
      <w:bookmarkStart w:id="8" w:name="part_3d0c216de43945a48ce89847bd95fed4"/>
      <w:bookmarkEnd w:id="8"/>
    </w:p>
    <w:p w14:paraId="5D7CAB9B" w14:textId="77777777" w:rsidR="00936041" w:rsidRPr="006663E2" w:rsidRDefault="00936041" w:rsidP="00C540E2">
      <w:pPr>
        <w:pStyle w:val="ListParagraph"/>
        <w:spacing w:after="120" w:line="240" w:lineRule="auto"/>
        <w:ind w:left="360"/>
        <w:jc w:val="both"/>
        <w:rPr>
          <w:rFonts w:ascii="Times New Roman" w:hAnsi="Times New Roman" w:cs="Times New Roman"/>
          <w:sz w:val="24"/>
          <w:szCs w:val="24"/>
          <w:lang w:val="en-GB"/>
        </w:rPr>
      </w:pPr>
    </w:p>
    <w:p w14:paraId="67D4AFA9" w14:textId="0A4EC186" w:rsidR="00063A27" w:rsidRPr="006663E2" w:rsidRDefault="00036725"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6663E2">
        <w:rPr>
          <w:rFonts w:ascii="Times New Roman" w:hAnsi="Times New Roman" w:cs="Times New Roman"/>
          <w:b/>
          <w:bCs/>
          <w:caps/>
          <w:sz w:val="24"/>
          <w:szCs w:val="24"/>
          <w:lang w:val="en-GB"/>
        </w:rPr>
        <w:t xml:space="preserve">Requirements for eligible project </w:t>
      </w:r>
      <w:r w:rsidR="00045F33" w:rsidRPr="006663E2">
        <w:rPr>
          <w:rFonts w:ascii="Times New Roman" w:hAnsi="Times New Roman" w:cs="Times New Roman"/>
          <w:b/>
          <w:bCs/>
          <w:caps/>
          <w:sz w:val="24"/>
          <w:szCs w:val="24"/>
          <w:lang w:val="en-GB"/>
        </w:rPr>
        <w:t>costs and financing</w:t>
      </w:r>
    </w:p>
    <w:p w14:paraId="41F48B63" w14:textId="77777777" w:rsidR="00063A27" w:rsidRPr="006663E2" w:rsidRDefault="00063A27" w:rsidP="00C540E2">
      <w:pPr>
        <w:pStyle w:val="ListParagraph"/>
        <w:spacing w:after="120" w:line="240" w:lineRule="auto"/>
        <w:ind w:left="1080"/>
        <w:jc w:val="both"/>
        <w:rPr>
          <w:rFonts w:ascii="Times New Roman" w:hAnsi="Times New Roman" w:cs="Times New Roman"/>
          <w:b/>
          <w:bCs/>
          <w:sz w:val="24"/>
          <w:szCs w:val="24"/>
          <w:lang w:val="en-GB"/>
        </w:rPr>
      </w:pPr>
    </w:p>
    <w:p w14:paraId="3E8E0CF8" w14:textId="74ED15B2" w:rsidR="00045F33" w:rsidRPr="006663E2" w:rsidRDefault="00045F33"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Project costs shall comply with requirements which project costs are subject to, laid down in Chapter XIX of the MAFR and the eligibility requirements set out in Chapter 8 of the Regulation.</w:t>
      </w:r>
    </w:p>
    <w:p w14:paraId="6A945A9C" w14:textId="440CE726" w:rsidR="00045F33" w:rsidRPr="006663E2" w:rsidRDefault="00045F33"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The minimum amount of mechanism and co-financing funds, which may be requested under this </w:t>
      </w:r>
      <w:r w:rsidR="008C05A4" w:rsidRPr="006663E2">
        <w:rPr>
          <w:rFonts w:ascii="Times New Roman" w:eastAsia="Times New Roman" w:hAnsi="Times New Roman" w:cs="Times New Roman"/>
          <w:sz w:val="24"/>
          <w:szCs w:val="24"/>
          <w:lang w:val="en-GB" w:eastAsia="lt-LT"/>
        </w:rPr>
        <w:t>c</w:t>
      </w:r>
      <w:r w:rsidRPr="006663E2">
        <w:rPr>
          <w:rFonts w:ascii="Times New Roman" w:eastAsia="Times New Roman" w:hAnsi="Times New Roman" w:cs="Times New Roman"/>
          <w:sz w:val="24"/>
          <w:szCs w:val="24"/>
          <w:lang w:val="en-GB" w:eastAsia="lt-LT"/>
        </w:rPr>
        <w:t xml:space="preserve">all, </w:t>
      </w:r>
      <w:r w:rsidR="008C05A4" w:rsidRPr="006663E2">
        <w:rPr>
          <w:rFonts w:ascii="Times New Roman" w:eastAsia="Times New Roman" w:hAnsi="Times New Roman" w:cs="Times New Roman"/>
          <w:sz w:val="24"/>
          <w:szCs w:val="24"/>
          <w:lang w:val="en-GB" w:eastAsia="lt-LT"/>
        </w:rPr>
        <w:t>shall be</w:t>
      </w:r>
      <w:r w:rsidRPr="006663E2">
        <w:rPr>
          <w:rFonts w:ascii="Times New Roman" w:eastAsia="Times New Roman" w:hAnsi="Times New Roman" w:cs="Times New Roman"/>
          <w:sz w:val="24"/>
          <w:szCs w:val="24"/>
          <w:lang w:val="en-GB" w:eastAsia="lt-LT"/>
        </w:rPr>
        <w:t xml:space="preserve"> EUR </w:t>
      </w:r>
      <w:r w:rsidR="006C5B1F" w:rsidRPr="006663E2">
        <w:rPr>
          <w:rFonts w:ascii="Times New Roman" w:eastAsia="Times New Roman" w:hAnsi="Times New Roman" w:cs="Times New Roman"/>
          <w:sz w:val="24"/>
          <w:szCs w:val="24"/>
          <w:lang w:val="en-GB" w:eastAsia="lt-LT"/>
        </w:rPr>
        <w:t>20</w:t>
      </w:r>
      <w:r w:rsidRPr="006663E2">
        <w:rPr>
          <w:rFonts w:ascii="Times New Roman" w:eastAsia="Times New Roman" w:hAnsi="Times New Roman" w:cs="Times New Roman"/>
          <w:sz w:val="24"/>
          <w:szCs w:val="24"/>
          <w:lang w:val="en-GB" w:eastAsia="lt-LT"/>
        </w:rPr>
        <w:t>0 000.00 (</w:t>
      </w:r>
      <w:r w:rsidR="006C5B1F" w:rsidRPr="006663E2">
        <w:rPr>
          <w:rFonts w:ascii="Times New Roman" w:eastAsia="Times New Roman" w:hAnsi="Times New Roman" w:cs="Times New Roman"/>
          <w:sz w:val="24"/>
          <w:szCs w:val="24"/>
          <w:lang w:val="en-GB" w:eastAsia="lt-LT"/>
        </w:rPr>
        <w:t>two hundred</w:t>
      </w:r>
      <w:r w:rsidRPr="006663E2">
        <w:rPr>
          <w:rFonts w:ascii="Times New Roman" w:eastAsia="Times New Roman" w:hAnsi="Times New Roman" w:cs="Times New Roman"/>
          <w:sz w:val="24"/>
          <w:szCs w:val="24"/>
          <w:lang w:val="en-GB" w:eastAsia="lt-LT"/>
        </w:rPr>
        <w:t xml:space="preserve"> thousand euro) and the maximum </w:t>
      </w:r>
      <w:r w:rsidR="00E07B9E" w:rsidRPr="006663E2">
        <w:rPr>
          <w:rFonts w:ascii="Times New Roman" w:eastAsia="Times New Roman" w:hAnsi="Times New Roman" w:cs="Times New Roman"/>
          <w:sz w:val="24"/>
          <w:szCs w:val="24"/>
          <w:lang w:val="en-GB" w:eastAsia="lt-LT"/>
        </w:rPr>
        <w:t>shall be</w:t>
      </w:r>
      <w:r w:rsidRPr="006663E2">
        <w:rPr>
          <w:rFonts w:ascii="Times New Roman" w:eastAsia="Times New Roman" w:hAnsi="Times New Roman" w:cs="Times New Roman"/>
          <w:sz w:val="24"/>
          <w:szCs w:val="24"/>
          <w:lang w:val="en-GB" w:eastAsia="lt-LT"/>
        </w:rPr>
        <w:t xml:space="preserve"> EUR </w:t>
      </w:r>
      <w:r w:rsidR="00D45FF2" w:rsidRPr="006663E2">
        <w:rPr>
          <w:rFonts w:ascii="Times New Roman" w:eastAsia="Times New Roman" w:hAnsi="Times New Roman" w:cs="Times New Roman"/>
          <w:sz w:val="24"/>
          <w:szCs w:val="24"/>
          <w:lang w:val="en-GB" w:eastAsia="lt-LT"/>
        </w:rPr>
        <w:t>25</w:t>
      </w:r>
      <w:r w:rsidR="006C5B1F" w:rsidRPr="006663E2">
        <w:rPr>
          <w:rFonts w:ascii="Times New Roman" w:eastAsia="Times New Roman" w:hAnsi="Times New Roman" w:cs="Times New Roman"/>
          <w:sz w:val="24"/>
          <w:szCs w:val="24"/>
          <w:lang w:val="en-GB" w:eastAsia="lt-LT"/>
        </w:rPr>
        <w:t>0 </w:t>
      </w:r>
      <w:r w:rsidRPr="006663E2">
        <w:rPr>
          <w:rFonts w:ascii="Times New Roman" w:eastAsia="Times New Roman" w:hAnsi="Times New Roman" w:cs="Times New Roman"/>
          <w:sz w:val="24"/>
          <w:szCs w:val="24"/>
          <w:lang w:val="en-GB" w:eastAsia="lt-LT"/>
        </w:rPr>
        <w:t>000.00 (two hundred</w:t>
      </w:r>
      <w:r w:rsidR="00EE0AC3" w:rsidRPr="006663E2">
        <w:rPr>
          <w:rFonts w:ascii="Times New Roman" w:eastAsia="Times New Roman" w:hAnsi="Times New Roman" w:cs="Times New Roman"/>
          <w:sz w:val="24"/>
          <w:szCs w:val="24"/>
          <w:lang w:val="en-GB" w:eastAsia="lt-LT"/>
        </w:rPr>
        <w:t xml:space="preserve"> </w:t>
      </w:r>
      <w:r w:rsidR="00D45FF2" w:rsidRPr="006663E2">
        <w:rPr>
          <w:rFonts w:ascii="Times New Roman" w:eastAsia="Times New Roman" w:hAnsi="Times New Roman" w:cs="Times New Roman"/>
          <w:sz w:val="24"/>
          <w:szCs w:val="24"/>
          <w:lang w:val="en-GB" w:eastAsia="lt-LT"/>
        </w:rPr>
        <w:t>fifty</w:t>
      </w:r>
      <w:r w:rsidRPr="006663E2">
        <w:rPr>
          <w:rFonts w:ascii="Times New Roman" w:eastAsia="Times New Roman" w:hAnsi="Times New Roman" w:cs="Times New Roman"/>
          <w:sz w:val="24"/>
          <w:szCs w:val="24"/>
          <w:lang w:val="en-GB" w:eastAsia="lt-LT"/>
        </w:rPr>
        <w:t xml:space="preserve"> thousand euro).</w:t>
      </w:r>
    </w:p>
    <w:p w14:paraId="58650EAD" w14:textId="6C4BFC74" w:rsidR="00045F33" w:rsidRPr="006663E2" w:rsidRDefault="00045F33" w:rsidP="00D45FF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The maximum share of the project, which may be financed from the mechanism and co-financing funds</w:t>
      </w:r>
      <w:r w:rsidR="008C05A4" w:rsidRPr="006663E2">
        <w:rPr>
          <w:rFonts w:ascii="Times New Roman" w:eastAsia="Times New Roman" w:hAnsi="Times New Roman" w:cs="Times New Roman"/>
          <w:sz w:val="24"/>
          <w:szCs w:val="24"/>
          <w:lang w:val="en-GB" w:eastAsia="lt-LT"/>
        </w:rPr>
        <w:t xml:space="preserve">, shall be </w:t>
      </w:r>
      <w:r w:rsidR="00EE0AC3" w:rsidRPr="006663E2">
        <w:rPr>
          <w:rFonts w:ascii="Times New Roman" w:eastAsia="Times New Roman" w:hAnsi="Times New Roman" w:cs="Times New Roman"/>
          <w:sz w:val="24"/>
          <w:szCs w:val="24"/>
          <w:lang w:val="en-GB" w:eastAsia="lt-LT"/>
        </w:rPr>
        <w:t>100</w:t>
      </w:r>
      <w:r w:rsidR="008F3D58" w:rsidRPr="006663E2">
        <w:rPr>
          <w:rFonts w:ascii="Times New Roman" w:eastAsia="Times New Roman" w:hAnsi="Times New Roman" w:cs="Times New Roman"/>
          <w:sz w:val="24"/>
          <w:szCs w:val="24"/>
          <w:lang w:val="en-GB" w:eastAsia="lt-LT"/>
        </w:rPr>
        <w:t xml:space="preserve"> percent</w:t>
      </w:r>
      <w:r w:rsidRPr="006663E2">
        <w:rPr>
          <w:rFonts w:ascii="Times New Roman" w:eastAsia="Times New Roman" w:hAnsi="Times New Roman" w:cs="Times New Roman"/>
          <w:sz w:val="24"/>
          <w:szCs w:val="24"/>
          <w:lang w:val="en-GB" w:eastAsia="lt-LT"/>
        </w:rPr>
        <w:t xml:space="preserve"> of the total eligible project costs. </w:t>
      </w:r>
      <w:r w:rsidR="00D45FF2" w:rsidRPr="006663E2">
        <w:rPr>
          <w:rFonts w:ascii="Times New Roman" w:eastAsia="Times New Roman" w:hAnsi="Times New Roman" w:cs="Times New Roman"/>
          <w:sz w:val="24"/>
          <w:szCs w:val="24"/>
          <w:lang w:val="en-GB" w:eastAsia="lt-LT"/>
        </w:rPr>
        <w:t>If the Applicant is a non-governmental organization, as defined in Article 1.6 (n) of the Regulation, or a social partner, as defined in Article 1.6 (y) of the Regulation</w:t>
      </w:r>
      <w:r w:rsidR="00D45FF2" w:rsidRPr="006663E2">
        <w:rPr>
          <w:lang w:val="en-GB"/>
        </w:rPr>
        <w:t xml:space="preserve"> </w:t>
      </w:r>
      <w:r w:rsidR="00D45FF2" w:rsidRPr="006663E2">
        <w:rPr>
          <w:rFonts w:ascii="Times New Roman" w:eastAsia="Times New Roman" w:hAnsi="Times New Roman" w:cs="Times New Roman"/>
          <w:sz w:val="24"/>
          <w:szCs w:val="24"/>
          <w:lang w:val="en-GB" w:eastAsia="lt-LT"/>
        </w:rPr>
        <w:t>the maximum share of the project, which may be financed from the mechanism and co-financing funds, shall be 90</w:t>
      </w:r>
      <w:r w:rsidR="008F3D58" w:rsidRPr="006663E2">
        <w:rPr>
          <w:rFonts w:ascii="Times New Roman" w:eastAsia="Times New Roman" w:hAnsi="Times New Roman" w:cs="Times New Roman"/>
          <w:sz w:val="24"/>
          <w:szCs w:val="24"/>
          <w:lang w:val="en-GB" w:eastAsia="lt-LT"/>
        </w:rPr>
        <w:t xml:space="preserve"> percent</w:t>
      </w:r>
      <w:r w:rsidR="00D45FF2" w:rsidRPr="006663E2">
        <w:rPr>
          <w:rFonts w:ascii="Times New Roman" w:eastAsia="Times New Roman" w:hAnsi="Times New Roman" w:cs="Times New Roman"/>
          <w:sz w:val="24"/>
          <w:szCs w:val="24"/>
          <w:lang w:val="en-GB" w:eastAsia="lt-LT"/>
        </w:rPr>
        <w:t xml:space="preserve"> of the total eligible project costs</w:t>
      </w:r>
    </w:p>
    <w:p w14:paraId="1EA4F7EB" w14:textId="0FAE6A14" w:rsidR="00045F33" w:rsidRPr="006663E2" w:rsidRDefault="00045F33" w:rsidP="00D45FF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The </w:t>
      </w:r>
      <w:r w:rsidR="00081450" w:rsidRPr="006663E2">
        <w:rPr>
          <w:rFonts w:ascii="Times New Roman" w:eastAsia="Times New Roman" w:hAnsi="Times New Roman" w:cs="Times New Roman"/>
          <w:sz w:val="24"/>
          <w:szCs w:val="24"/>
          <w:lang w:val="en-GB" w:eastAsia="lt-LT"/>
        </w:rPr>
        <w:t>A</w:t>
      </w:r>
      <w:r w:rsidRPr="006663E2">
        <w:rPr>
          <w:rFonts w:ascii="Times New Roman" w:eastAsia="Times New Roman" w:hAnsi="Times New Roman" w:cs="Times New Roman"/>
          <w:sz w:val="24"/>
          <w:szCs w:val="24"/>
          <w:lang w:val="en-GB" w:eastAsia="lt-LT"/>
        </w:rPr>
        <w:t xml:space="preserve">pplicant and / or </w:t>
      </w:r>
      <w:r w:rsidR="005111D6" w:rsidRPr="006663E2">
        <w:rPr>
          <w:rFonts w:ascii="Times New Roman" w:eastAsia="Times New Roman" w:hAnsi="Times New Roman" w:cs="Times New Roman"/>
          <w:sz w:val="24"/>
          <w:szCs w:val="24"/>
          <w:lang w:val="en-GB" w:eastAsia="lt-LT"/>
        </w:rPr>
        <w:t xml:space="preserve">the </w:t>
      </w:r>
      <w:r w:rsidR="00081450" w:rsidRPr="006663E2">
        <w:rPr>
          <w:rFonts w:ascii="Times New Roman" w:eastAsia="Times New Roman" w:hAnsi="Times New Roman" w:cs="Times New Roman"/>
          <w:sz w:val="24"/>
          <w:szCs w:val="24"/>
          <w:lang w:val="en-GB" w:eastAsia="lt-LT"/>
        </w:rPr>
        <w:t>P</w:t>
      </w:r>
      <w:r w:rsidRPr="006663E2">
        <w:rPr>
          <w:rFonts w:ascii="Times New Roman" w:eastAsia="Times New Roman" w:hAnsi="Times New Roman" w:cs="Times New Roman"/>
          <w:sz w:val="24"/>
          <w:szCs w:val="24"/>
          <w:lang w:val="en-GB" w:eastAsia="lt-LT"/>
        </w:rPr>
        <w:t xml:space="preserve">artner may, </w:t>
      </w:r>
      <w:r w:rsidR="005111D6" w:rsidRPr="006663E2">
        <w:rPr>
          <w:rFonts w:ascii="Times New Roman" w:eastAsia="Times New Roman" w:hAnsi="Times New Roman" w:cs="Times New Roman"/>
          <w:sz w:val="24"/>
          <w:szCs w:val="24"/>
          <w:lang w:val="en-GB" w:eastAsia="lt-LT"/>
        </w:rPr>
        <w:t>at</w:t>
      </w:r>
      <w:r w:rsidRPr="006663E2">
        <w:rPr>
          <w:rFonts w:ascii="Times New Roman" w:eastAsia="Times New Roman" w:hAnsi="Times New Roman" w:cs="Times New Roman"/>
          <w:sz w:val="24"/>
          <w:szCs w:val="24"/>
          <w:lang w:val="en-GB" w:eastAsia="lt-LT"/>
        </w:rPr>
        <w:t xml:space="preserve"> its own initiative and </w:t>
      </w:r>
      <w:r w:rsidR="005111D6" w:rsidRPr="006663E2">
        <w:rPr>
          <w:rFonts w:ascii="Times New Roman" w:eastAsia="Times New Roman" w:hAnsi="Times New Roman" w:cs="Times New Roman"/>
          <w:sz w:val="24"/>
          <w:szCs w:val="24"/>
          <w:lang w:val="en-GB" w:eastAsia="lt-LT"/>
        </w:rPr>
        <w:t>funds of its own and/or other sources</w:t>
      </w:r>
      <w:r w:rsidRPr="006663E2">
        <w:rPr>
          <w:rFonts w:ascii="Times New Roman" w:eastAsia="Times New Roman" w:hAnsi="Times New Roman" w:cs="Times New Roman"/>
          <w:sz w:val="24"/>
          <w:szCs w:val="24"/>
          <w:lang w:val="en-GB" w:eastAsia="lt-LT"/>
        </w:rPr>
        <w:t xml:space="preserve">, contribute to the implementation of the project </w:t>
      </w:r>
      <w:r w:rsidR="005111D6" w:rsidRPr="006663E2">
        <w:rPr>
          <w:rFonts w:ascii="Times New Roman" w:eastAsia="Times New Roman" w:hAnsi="Times New Roman" w:cs="Times New Roman"/>
          <w:sz w:val="24"/>
          <w:szCs w:val="24"/>
          <w:lang w:val="en-GB" w:eastAsia="lt-LT"/>
        </w:rPr>
        <w:t>more than the requested amount.</w:t>
      </w:r>
      <w:r w:rsidR="00D45FF2" w:rsidRPr="006663E2">
        <w:rPr>
          <w:lang w:val="en-GB"/>
        </w:rPr>
        <w:t xml:space="preserve"> </w:t>
      </w:r>
      <w:r w:rsidR="00D45FF2" w:rsidRPr="006663E2">
        <w:rPr>
          <w:rFonts w:ascii="Times New Roman" w:eastAsia="Times New Roman" w:hAnsi="Times New Roman" w:cs="Times New Roman"/>
          <w:sz w:val="24"/>
          <w:szCs w:val="24"/>
          <w:lang w:val="en-GB" w:eastAsia="lt-LT"/>
        </w:rPr>
        <w:t>If the Applicant is a non-governmental organization, as defined in Article 1.6 (n) of the Regulation, or a social partner, as defined in Article 1.6 (y) of the Regulation, the Applicant and / or the Partner (-s) shall contribute to the project at least 10</w:t>
      </w:r>
      <w:r w:rsidR="008F3D58" w:rsidRPr="006663E2">
        <w:rPr>
          <w:rFonts w:ascii="Times New Roman" w:eastAsia="Times New Roman" w:hAnsi="Times New Roman" w:cs="Times New Roman"/>
          <w:sz w:val="24"/>
          <w:szCs w:val="24"/>
          <w:lang w:val="en-GB" w:eastAsia="lt-LT"/>
        </w:rPr>
        <w:t xml:space="preserve"> percent</w:t>
      </w:r>
      <w:r w:rsidR="00D45FF2" w:rsidRPr="006663E2">
        <w:rPr>
          <w:rFonts w:ascii="Times New Roman" w:eastAsia="Times New Roman" w:hAnsi="Times New Roman" w:cs="Times New Roman"/>
          <w:sz w:val="24"/>
          <w:szCs w:val="24"/>
          <w:lang w:val="en-GB" w:eastAsia="lt-LT"/>
        </w:rPr>
        <w:t xml:space="preserve"> (i.e. the share of own contribution) of the total eligible costs of the project, and ensure payment of all other costs necessary for the implementation of the project, including ineligible costs during the implementation of the project.</w:t>
      </w:r>
    </w:p>
    <w:p w14:paraId="290D2152" w14:textId="157613AD" w:rsidR="00D45FF2" w:rsidRPr="006663E2" w:rsidRDefault="00D45FF2" w:rsidP="00D45FF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If the Project Promoter is a non-governmental organization, as defined in Article 1.6 (n) of the Regulation, or a social partner, as defined in Article 1.6 (y) of the Regulation, up to 50</w:t>
      </w:r>
      <w:r w:rsidR="007E5588">
        <w:rPr>
          <w:rFonts w:ascii="Times New Roman" w:eastAsia="Times New Roman" w:hAnsi="Times New Roman" w:cs="Times New Roman"/>
          <w:sz w:val="24"/>
          <w:szCs w:val="24"/>
          <w:lang w:val="en-GB" w:eastAsia="lt-LT"/>
        </w:rPr>
        <w:t xml:space="preserve"> </w:t>
      </w:r>
      <w:r w:rsidR="008F3D58" w:rsidRPr="006663E2">
        <w:rPr>
          <w:rFonts w:ascii="Times New Roman" w:eastAsia="Times New Roman" w:hAnsi="Times New Roman" w:cs="Times New Roman"/>
          <w:sz w:val="24"/>
          <w:szCs w:val="24"/>
          <w:lang w:val="en-GB" w:eastAsia="lt-LT"/>
        </w:rPr>
        <w:t>percent</w:t>
      </w:r>
      <w:r w:rsidRPr="006663E2">
        <w:rPr>
          <w:rFonts w:ascii="Times New Roman" w:eastAsia="Times New Roman" w:hAnsi="Times New Roman" w:cs="Times New Roman"/>
          <w:sz w:val="24"/>
          <w:szCs w:val="24"/>
          <w:lang w:val="en-GB" w:eastAsia="lt-LT"/>
        </w:rPr>
        <w:t xml:space="preserve"> of its own contribution may be covered by a contribution in kind. The own contribution covered by a contribution in kind shall meet the conditions and be justified in accordance with provisions of the Methodology of Calculation and Application of the Covering of Own Contribution to Projects of EEA and Norwegian Financial Mechanism Programmes 2014 – 2021 by Contributions in Kind” approved by the CPMA deputy director</w:t>
      </w:r>
      <w:r w:rsidR="008E1CE2" w:rsidRPr="006663E2">
        <w:rPr>
          <w:rFonts w:ascii="Times New Roman" w:eastAsia="Times New Roman" w:hAnsi="Times New Roman" w:cs="Times New Roman"/>
          <w:sz w:val="24"/>
          <w:szCs w:val="24"/>
          <w:lang w:val="en-GB" w:eastAsia="lt-LT"/>
        </w:rPr>
        <w:t xml:space="preserve"> 19 September, 2019 ordinance No DR-20-2-2019-11,</w:t>
      </w:r>
      <w:r w:rsidRPr="006663E2">
        <w:rPr>
          <w:rFonts w:ascii="Times New Roman" w:eastAsia="Times New Roman" w:hAnsi="Times New Roman" w:cs="Times New Roman"/>
          <w:sz w:val="24"/>
          <w:szCs w:val="24"/>
          <w:lang w:val="en-GB" w:eastAsia="lt-LT"/>
        </w:rPr>
        <w:t xml:space="preserve"> published online at www.cpva.lt.</w:t>
      </w:r>
    </w:p>
    <w:p w14:paraId="2B252883" w14:textId="29E7E69F" w:rsidR="00630D29" w:rsidRPr="006663E2" w:rsidRDefault="00630D29"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Eligible costs shall be directly linked to the implementation of the project and necessary to achieve the goal and the intended results of the project. The principles of economy, efficiency and effectiveness shall be followed when planning a project budget.</w:t>
      </w:r>
    </w:p>
    <w:p w14:paraId="4B8FED8D" w14:textId="4D1C035E" w:rsidR="00630D29" w:rsidRPr="006663E2" w:rsidRDefault="00630D29"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The implementation of project activities may be commenced and project costs shall be eligible from the date of the decision on project financing. </w:t>
      </w:r>
      <w:r w:rsidR="00667E13" w:rsidRPr="006663E2">
        <w:rPr>
          <w:rFonts w:ascii="Times New Roman" w:eastAsia="Times New Roman" w:hAnsi="Times New Roman" w:cs="Times New Roman"/>
          <w:sz w:val="24"/>
          <w:szCs w:val="24"/>
          <w:lang w:val="en-GB" w:eastAsia="lt-LT"/>
        </w:rPr>
        <w:t>Inclusion of an expenditure item into the project budget template approved by the Programme Operator cannot be considered as confirmation of eligibility of that expenditure item. A</w:t>
      </w:r>
      <w:r w:rsidRPr="006663E2">
        <w:rPr>
          <w:rFonts w:ascii="Times New Roman" w:eastAsia="Times New Roman" w:hAnsi="Times New Roman" w:cs="Times New Roman"/>
          <w:sz w:val="24"/>
          <w:szCs w:val="24"/>
          <w:lang w:val="en-GB" w:eastAsia="lt-LT"/>
        </w:rPr>
        <w:t xml:space="preserve">ll project activities shall be completed and all costs shall be incurred and paid during the period of eligibility of project costs for payment till the deadline for the </w:t>
      </w:r>
      <w:r w:rsidR="00895E54" w:rsidRPr="006663E2">
        <w:rPr>
          <w:rFonts w:ascii="Times New Roman" w:eastAsia="Times New Roman" w:hAnsi="Times New Roman" w:cs="Times New Roman"/>
          <w:sz w:val="24"/>
          <w:szCs w:val="24"/>
          <w:lang w:val="en-GB" w:eastAsia="lt-LT"/>
        </w:rPr>
        <w:t>eligibility</w:t>
      </w:r>
      <w:r w:rsidRPr="006663E2">
        <w:rPr>
          <w:rFonts w:ascii="Times New Roman" w:eastAsia="Times New Roman" w:hAnsi="Times New Roman" w:cs="Times New Roman"/>
          <w:sz w:val="24"/>
          <w:szCs w:val="24"/>
          <w:lang w:val="en-GB" w:eastAsia="lt-LT"/>
        </w:rPr>
        <w:t xml:space="preserve"> of project costs for payment indicated in the project </w:t>
      </w:r>
      <w:r w:rsidR="0081545D" w:rsidRPr="006663E2">
        <w:rPr>
          <w:rFonts w:ascii="Times New Roman" w:eastAsia="Times New Roman" w:hAnsi="Times New Roman" w:cs="Times New Roman"/>
          <w:sz w:val="24"/>
          <w:szCs w:val="24"/>
          <w:lang w:val="en-GB" w:eastAsia="lt-LT"/>
        </w:rPr>
        <w:t>contract</w:t>
      </w:r>
      <w:r w:rsidRPr="006663E2">
        <w:rPr>
          <w:rFonts w:ascii="Times New Roman" w:eastAsia="Times New Roman" w:hAnsi="Times New Roman" w:cs="Times New Roman"/>
          <w:sz w:val="24"/>
          <w:szCs w:val="24"/>
          <w:lang w:val="en-GB" w:eastAsia="lt-LT"/>
        </w:rPr>
        <w:t xml:space="preserve">, except for costs, which were invoiced in the last month of the period of eligibility of costs for financing and which are considered </w:t>
      </w:r>
      <w:r w:rsidR="00895E54" w:rsidRPr="006663E2">
        <w:rPr>
          <w:rFonts w:ascii="Times New Roman" w:eastAsia="Times New Roman" w:hAnsi="Times New Roman" w:cs="Times New Roman"/>
          <w:sz w:val="24"/>
          <w:szCs w:val="24"/>
          <w:lang w:val="en-GB" w:eastAsia="lt-LT"/>
        </w:rPr>
        <w:t>eligible</w:t>
      </w:r>
      <w:r w:rsidRPr="006663E2">
        <w:rPr>
          <w:rFonts w:ascii="Times New Roman" w:eastAsia="Times New Roman" w:hAnsi="Times New Roman" w:cs="Times New Roman"/>
          <w:sz w:val="24"/>
          <w:szCs w:val="24"/>
          <w:lang w:val="en-GB" w:eastAsia="lt-LT"/>
        </w:rPr>
        <w:t xml:space="preserve"> for financing, if the invoice substantiating the project costs is paid within 30 days from the end of the </w:t>
      </w:r>
      <w:r w:rsidRPr="006663E2">
        <w:rPr>
          <w:rFonts w:ascii="Times New Roman" w:eastAsia="Times New Roman" w:hAnsi="Times New Roman" w:cs="Times New Roman"/>
          <w:sz w:val="24"/>
          <w:szCs w:val="24"/>
          <w:lang w:val="en-GB" w:eastAsia="lt-LT"/>
        </w:rPr>
        <w:lastRenderedPageBreak/>
        <w:t>period of eligibility of project costs for financing.</w:t>
      </w:r>
      <w:r w:rsidR="008F6928" w:rsidRPr="006663E2">
        <w:rPr>
          <w:rFonts w:ascii="Times New Roman" w:eastAsia="Times New Roman" w:hAnsi="Times New Roman" w:cs="Times New Roman"/>
          <w:sz w:val="24"/>
          <w:szCs w:val="24"/>
          <w:lang w:val="en-GB" w:eastAsia="lt-LT"/>
        </w:rPr>
        <w:t xml:space="preserve"> Final date of eligibility of expenditure in projects is 30</w:t>
      </w:r>
      <w:r w:rsidR="000B711F" w:rsidRPr="006663E2">
        <w:rPr>
          <w:rFonts w:ascii="Times New Roman" w:eastAsia="Times New Roman" w:hAnsi="Times New Roman" w:cs="Times New Roman"/>
          <w:sz w:val="24"/>
          <w:szCs w:val="24"/>
          <w:lang w:val="en-GB" w:eastAsia="lt-LT"/>
        </w:rPr>
        <w:t xml:space="preserve"> </w:t>
      </w:r>
      <w:r w:rsidR="008F6928" w:rsidRPr="006663E2">
        <w:rPr>
          <w:rFonts w:ascii="Times New Roman" w:eastAsia="Times New Roman" w:hAnsi="Times New Roman" w:cs="Times New Roman"/>
          <w:sz w:val="24"/>
          <w:szCs w:val="24"/>
          <w:lang w:val="en-GB" w:eastAsia="lt-LT"/>
        </w:rPr>
        <w:t xml:space="preserve">April 2024. </w:t>
      </w:r>
    </w:p>
    <w:p w14:paraId="6B990A65" w14:textId="6F8D4B6A" w:rsidR="00630D29" w:rsidRPr="006663E2" w:rsidRDefault="00630D29"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The project and project activities may not </w:t>
      </w:r>
      <w:r w:rsidR="00431370" w:rsidRPr="006663E2">
        <w:rPr>
          <w:rFonts w:ascii="Times New Roman" w:eastAsia="Times New Roman" w:hAnsi="Times New Roman" w:cs="Times New Roman"/>
          <w:sz w:val="24"/>
          <w:szCs w:val="24"/>
          <w:lang w:val="en-GB" w:eastAsia="lt-LT"/>
        </w:rPr>
        <w:t>have been</w:t>
      </w:r>
      <w:r w:rsidRPr="006663E2">
        <w:rPr>
          <w:rFonts w:ascii="Times New Roman" w:eastAsia="Times New Roman" w:hAnsi="Times New Roman" w:cs="Times New Roman"/>
          <w:sz w:val="24"/>
          <w:szCs w:val="24"/>
          <w:lang w:val="en-GB" w:eastAsia="lt-LT"/>
        </w:rPr>
        <w:t xml:space="preserve"> </w:t>
      </w:r>
      <w:r w:rsidR="00431370" w:rsidRPr="006663E2">
        <w:rPr>
          <w:rFonts w:ascii="Times New Roman" w:eastAsia="Times New Roman" w:hAnsi="Times New Roman" w:cs="Times New Roman"/>
          <w:sz w:val="24"/>
          <w:szCs w:val="24"/>
          <w:lang w:val="en-GB" w:eastAsia="lt-LT"/>
        </w:rPr>
        <w:t>financed</w:t>
      </w:r>
      <w:r w:rsidRPr="006663E2">
        <w:rPr>
          <w:rFonts w:ascii="Times New Roman" w:eastAsia="Times New Roman" w:hAnsi="Times New Roman" w:cs="Times New Roman"/>
          <w:sz w:val="24"/>
          <w:szCs w:val="24"/>
          <w:lang w:val="en-GB" w:eastAsia="lt-LT"/>
        </w:rPr>
        <w:t xml:space="preserve"> or</w:t>
      </w:r>
      <w:r w:rsidR="00431370" w:rsidRPr="006663E2">
        <w:rPr>
          <w:rFonts w:ascii="Times New Roman" w:eastAsia="Times New Roman" w:hAnsi="Times New Roman" w:cs="Times New Roman"/>
          <w:sz w:val="24"/>
          <w:szCs w:val="24"/>
          <w:lang w:val="en-GB" w:eastAsia="lt-LT"/>
        </w:rPr>
        <w:t xml:space="preserve"> be</w:t>
      </w:r>
      <w:r w:rsidRPr="006663E2">
        <w:rPr>
          <w:rFonts w:ascii="Times New Roman" w:eastAsia="Times New Roman" w:hAnsi="Times New Roman" w:cs="Times New Roman"/>
          <w:sz w:val="24"/>
          <w:szCs w:val="24"/>
          <w:lang w:val="en-GB" w:eastAsia="lt-LT"/>
        </w:rPr>
        <w:t xml:space="preserve"> </w:t>
      </w:r>
      <w:r w:rsidR="00431370" w:rsidRPr="006663E2">
        <w:rPr>
          <w:rFonts w:ascii="Times New Roman" w:eastAsia="Times New Roman" w:hAnsi="Times New Roman" w:cs="Times New Roman"/>
          <w:sz w:val="24"/>
          <w:szCs w:val="24"/>
          <w:lang w:val="en-GB" w:eastAsia="lt-LT"/>
        </w:rPr>
        <w:t xml:space="preserve">financed, or, having granted financing, submitted for financing from other programmes financed from state budget funds, other funds or </w:t>
      </w:r>
      <w:r w:rsidRPr="006663E2">
        <w:rPr>
          <w:rFonts w:ascii="Times New Roman" w:eastAsia="Times New Roman" w:hAnsi="Times New Roman" w:cs="Times New Roman"/>
          <w:sz w:val="24"/>
          <w:szCs w:val="24"/>
          <w:lang w:val="en-GB" w:eastAsia="lt-LT"/>
        </w:rPr>
        <w:t>financial mechanisms (European Union Structural Funds, the Swiss Confederation, etc.) and other EEA Financial Mechanism program</w:t>
      </w:r>
      <w:r w:rsidR="00431370" w:rsidRPr="006663E2">
        <w:rPr>
          <w:rFonts w:ascii="Times New Roman" w:eastAsia="Times New Roman" w:hAnsi="Times New Roman" w:cs="Times New Roman"/>
          <w:sz w:val="24"/>
          <w:szCs w:val="24"/>
          <w:lang w:val="en-GB" w:eastAsia="lt-LT"/>
        </w:rPr>
        <w:t>me</w:t>
      </w:r>
      <w:r w:rsidRPr="006663E2">
        <w:rPr>
          <w:rFonts w:ascii="Times New Roman" w:eastAsia="Times New Roman" w:hAnsi="Times New Roman" w:cs="Times New Roman"/>
          <w:sz w:val="24"/>
          <w:szCs w:val="24"/>
          <w:lang w:val="en-GB" w:eastAsia="lt-LT"/>
        </w:rPr>
        <w:t>s</w:t>
      </w:r>
      <w:r w:rsidR="00F107E7" w:rsidRPr="006663E2">
        <w:rPr>
          <w:rFonts w:ascii="Times New Roman" w:eastAsia="Times New Roman" w:hAnsi="Times New Roman" w:cs="Times New Roman"/>
          <w:sz w:val="24"/>
          <w:szCs w:val="24"/>
          <w:lang w:val="en-GB" w:eastAsia="lt-LT"/>
        </w:rPr>
        <w:t>,</w:t>
      </w:r>
      <w:r w:rsidRPr="006663E2">
        <w:rPr>
          <w:rFonts w:ascii="Times New Roman" w:eastAsia="Times New Roman" w:hAnsi="Times New Roman" w:cs="Times New Roman"/>
          <w:sz w:val="24"/>
          <w:szCs w:val="24"/>
          <w:lang w:val="en-GB" w:eastAsia="lt-LT"/>
        </w:rPr>
        <w:t xml:space="preserve"> if</w:t>
      </w:r>
      <w:r w:rsidR="00431370" w:rsidRPr="006663E2">
        <w:rPr>
          <w:rFonts w:ascii="Times New Roman" w:eastAsia="Times New Roman" w:hAnsi="Times New Roman" w:cs="Times New Roman"/>
          <w:sz w:val="24"/>
          <w:szCs w:val="24"/>
          <w:lang w:val="en-GB" w:eastAsia="lt-LT"/>
        </w:rPr>
        <w:t xml:space="preserve"> this may lead to eligible </w:t>
      </w:r>
      <w:r w:rsidRPr="006663E2">
        <w:rPr>
          <w:rFonts w:ascii="Times New Roman" w:eastAsia="Times New Roman" w:hAnsi="Times New Roman" w:cs="Times New Roman"/>
          <w:sz w:val="24"/>
          <w:szCs w:val="24"/>
          <w:lang w:val="en-GB" w:eastAsia="lt-LT"/>
        </w:rPr>
        <w:t xml:space="preserve">costs of the project or </w:t>
      </w:r>
      <w:r w:rsidR="00F107E7" w:rsidRPr="006663E2">
        <w:rPr>
          <w:rFonts w:ascii="Times New Roman" w:eastAsia="Times New Roman" w:hAnsi="Times New Roman" w:cs="Times New Roman"/>
          <w:sz w:val="24"/>
          <w:szCs w:val="24"/>
          <w:lang w:val="en-GB" w:eastAsia="lt-LT"/>
        </w:rPr>
        <w:t>a</w:t>
      </w:r>
      <w:r w:rsidR="00431370" w:rsidRPr="006663E2">
        <w:rPr>
          <w:rFonts w:ascii="Times New Roman" w:eastAsia="Times New Roman" w:hAnsi="Times New Roman" w:cs="Times New Roman"/>
          <w:sz w:val="24"/>
          <w:szCs w:val="24"/>
          <w:lang w:val="en-GB" w:eastAsia="lt-LT"/>
        </w:rPr>
        <w:t xml:space="preserve"> </w:t>
      </w:r>
      <w:r w:rsidRPr="006663E2">
        <w:rPr>
          <w:rFonts w:ascii="Times New Roman" w:eastAsia="Times New Roman" w:hAnsi="Times New Roman" w:cs="Times New Roman"/>
          <w:sz w:val="24"/>
          <w:szCs w:val="24"/>
          <w:lang w:val="en-GB" w:eastAsia="lt-LT"/>
        </w:rPr>
        <w:t xml:space="preserve">part </w:t>
      </w:r>
      <w:r w:rsidR="00F107E7" w:rsidRPr="006663E2">
        <w:rPr>
          <w:rFonts w:ascii="Times New Roman" w:eastAsia="Times New Roman" w:hAnsi="Times New Roman" w:cs="Times New Roman"/>
          <w:sz w:val="24"/>
          <w:szCs w:val="24"/>
          <w:lang w:val="en-GB" w:eastAsia="lt-LT"/>
        </w:rPr>
        <w:t xml:space="preserve">thereof </w:t>
      </w:r>
      <w:r w:rsidR="00431370" w:rsidRPr="006663E2">
        <w:rPr>
          <w:rFonts w:ascii="Times New Roman" w:eastAsia="Times New Roman" w:hAnsi="Times New Roman" w:cs="Times New Roman"/>
          <w:sz w:val="24"/>
          <w:szCs w:val="24"/>
          <w:lang w:val="en-GB" w:eastAsia="lt-LT"/>
        </w:rPr>
        <w:t>being financed several times</w:t>
      </w:r>
      <w:r w:rsidRPr="006663E2">
        <w:rPr>
          <w:rFonts w:ascii="Times New Roman" w:eastAsia="Times New Roman" w:hAnsi="Times New Roman" w:cs="Times New Roman"/>
          <w:sz w:val="24"/>
          <w:szCs w:val="24"/>
          <w:lang w:val="en-GB" w:eastAsia="lt-LT"/>
        </w:rPr>
        <w:t>, including de minimis aid.</w:t>
      </w:r>
    </w:p>
    <w:p w14:paraId="6930AC2A" w14:textId="46AC9AC4" w:rsidR="00630D29" w:rsidRPr="006663E2" w:rsidRDefault="00431370"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Calculation (</w:t>
      </w:r>
      <w:r w:rsidR="00F107E7" w:rsidRPr="006663E2">
        <w:rPr>
          <w:rFonts w:ascii="Times New Roman" w:eastAsia="Times New Roman" w:hAnsi="Times New Roman" w:cs="Times New Roman"/>
          <w:sz w:val="24"/>
          <w:szCs w:val="24"/>
          <w:lang w:val="en-GB" w:eastAsia="lt-LT"/>
        </w:rPr>
        <w:t>substantiation</w:t>
      </w:r>
      <w:r w:rsidRPr="006663E2">
        <w:rPr>
          <w:rFonts w:ascii="Times New Roman" w:eastAsia="Times New Roman" w:hAnsi="Times New Roman" w:cs="Times New Roman"/>
          <w:sz w:val="24"/>
          <w:szCs w:val="24"/>
          <w:lang w:val="en-GB" w:eastAsia="lt-LT"/>
        </w:rPr>
        <w:t>)</w:t>
      </w:r>
      <w:r w:rsidR="00630D29" w:rsidRPr="006663E2">
        <w:rPr>
          <w:rFonts w:ascii="Times New Roman" w:eastAsia="Times New Roman" w:hAnsi="Times New Roman" w:cs="Times New Roman"/>
          <w:sz w:val="24"/>
          <w:szCs w:val="24"/>
          <w:lang w:val="en-GB" w:eastAsia="lt-LT"/>
        </w:rPr>
        <w:t xml:space="preserve"> of project costs shall be submitted </w:t>
      </w:r>
      <w:r w:rsidRPr="006663E2">
        <w:rPr>
          <w:rFonts w:ascii="Times New Roman" w:eastAsia="Times New Roman" w:hAnsi="Times New Roman" w:cs="Times New Roman"/>
          <w:sz w:val="24"/>
          <w:szCs w:val="24"/>
          <w:lang w:val="en-GB" w:eastAsia="lt-LT"/>
        </w:rPr>
        <w:t>along</w:t>
      </w:r>
      <w:r w:rsidR="00630D29" w:rsidRPr="006663E2">
        <w:rPr>
          <w:rFonts w:ascii="Times New Roman" w:eastAsia="Times New Roman" w:hAnsi="Times New Roman" w:cs="Times New Roman"/>
          <w:sz w:val="24"/>
          <w:szCs w:val="24"/>
          <w:lang w:val="en-GB" w:eastAsia="lt-LT"/>
        </w:rPr>
        <w:t xml:space="preserve"> with the planned project budget. In </w:t>
      </w:r>
      <w:r w:rsidRPr="006663E2">
        <w:rPr>
          <w:rFonts w:ascii="Times New Roman" w:eastAsia="Times New Roman" w:hAnsi="Times New Roman" w:cs="Times New Roman"/>
          <w:sz w:val="24"/>
          <w:szCs w:val="24"/>
          <w:lang w:val="en-GB" w:eastAsia="lt-LT"/>
        </w:rPr>
        <w:t xml:space="preserve">cases where costs are </w:t>
      </w:r>
      <w:r w:rsidR="00630D29" w:rsidRPr="006663E2">
        <w:rPr>
          <w:rFonts w:ascii="Times New Roman" w:eastAsia="Times New Roman" w:hAnsi="Times New Roman" w:cs="Times New Roman"/>
          <w:sz w:val="24"/>
          <w:szCs w:val="24"/>
          <w:lang w:val="en-GB" w:eastAsia="lt-LT"/>
        </w:rPr>
        <w:t>incurred in connection with (public) procurement (</w:t>
      </w:r>
      <w:r w:rsidRPr="006663E2">
        <w:rPr>
          <w:rFonts w:ascii="Times New Roman" w:eastAsia="Times New Roman" w:hAnsi="Times New Roman" w:cs="Times New Roman"/>
          <w:sz w:val="24"/>
          <w:szCs w:val="24"/>
          <w:lang w:val="en-GB" w:eastAsia="lt-LT"/>
        </w:rPr>
        <w:t xml:space="preserve">except for costs to be </w:t>
      </w:r>
      <w:r w:rsidR="00630D29" w:rsidRPr="006663E2">
        <w:rPr>
          <w:rFonts w:ascii="Times New Roman" w:eastAsia="Times New Roman" w:hAnsi="Times New Roman" w:cs="Times New Roman"/>
          <w:sz w:val="24"/>
          <w:szCs w:val="24"/>
          <w:lang w:val="en-GB" w:eastAsia="lt-LT"/>
        </w:rPr>
        <w:t>declared and</w:t>
      </w:r>
      <w:r w:rsidRPr="006663E2">
        <w:rPr>
          <w:rFonts w:ascii="Times New Roman" w:eastAsia="Times New Roman" w:hAnsi="Times New Roman" w:cs="Times New Roman"/>
          <w:sz w:val="24"/>
          <w:szCs w:val="24"/>
          <w:lang w:val="en-GB" w:eastAsia="lt-LT"/>
        </w:rPr>
        <w:t xml:space="preserve"> paid in a</w:t>
      </w:r>
      <w:r w:rsidR="00630D29" w:rsidRPr="006663E2">
        <w:rPr>
          <w:rFonts w:ascii="Times New Roman" w:eastAsia="Times New Roman" w:hAnsi="Times New Roman" w:cs="Times New Roman"/>
          <w:sz w:val="24"/>
          <w:szCs w:val="24"/>
          <w:lang w:val="en-GB" w:eastAsia="lt-LT"/>
        </w:rPr>
        <w:t xml:space="preserve"> simplified</w:t>
      </w:r>
      <w:r w:rsidRPr="006663E2">
        <w:rPr>
          <w:rFonts w:ascii="Times New Roman" w:eastAsia="Times New Roman" w:hAnsi="Times New Roman" w:cs="Times New Roman"/>
          <w:sz w:val="24"/>
          <w:szCs w:val="24"/>
          <w:lang w:val="en-GB" w:eastAsia="lt-LT"/>
        </w:rPr>
        <w:t xml:space="preserve"> procedure</w:t>
      </w:r>
      <w:r w:rsidR="00630D29" w:rsidRPr="006663E2">
        <w:rPr>
          <w:rFonts w:ascii="Times New Roman" w:eastAsia="Times New Roman" w:hAnsi="Times New Roman" w:cs="Times New Roman"/>
          <w:sz w:val="24"/>
          <w:szCs w:val="24"/>
          <w:lang w:val="en-GB" w:eastAsia="lt-LT"/>
        </w:rPr>
        <w:t xml:space="preserve">), the planned </w:t>
      </w:r>
      <w:r w:rsidRPr="006663E2">
        <w:rPr>
          <w:rFonts w:ascii="Times New Roman" w:eastAsia="Times New Roman" w:hAnsi="Times New Roman" w:cs="Times New Roman"/>
          <w:sz w:val="24"/>
          <w:szCs w:val="24"/>
          <w:lang w:val="en-GB" w:eastAsia="lt-LT"/>
        </w:rPr>
        <w:t>costs</w:t>
      </w:r>
      <w:r w:rsidR="00630D29" w:rsidRPr="006663E2">
        <w:rPr>
          <w:rFonts w:ascii="Times New Roman" w:eastAsia="Times New Roman" w:hAnsi="Times New Roman" w:cs="Times New Roman"/>
          <w:sz w:val="24"/>
          <w:szCs w:val="24"/>
          <w:lang w:val="en-GB" w:eastAsia="lt-LT"/>
        </w:rPr>
        <w:t xml:space="preserve"> </w:t>
      </w:r>
      <w:r w:rsidRPr="006663E2">
        <w:rPr>
          <w:rFonts w:ascii="Times New Roman" w:eastAsia="Times New Roman" w:hAnsi="Times New Roman" w:cs="Times New Roman"/>
          <w:sz w:val="24"/>
          <w:szCs w:val="24"/>
          <w:lang w:val="en-GB" w:eastAsia="lt-LT"/>
        </w:rPr>
        <w:t>shall</w:t>
      </w:r>
      <w:r w:rsidR="00630D29" w:rsidRPr="006663E2">
        <w:rPr>
          <w:rFonts w:ascii="Times New Roman" w:eastAsia="Times New Roman" w:hAnsi="Times New Roman" w:cs="Times New Roman"/>
          <w:sz w:val="24"/>
          <w:szCs w:val="24"/>
          <w:lang w:val="en-GB" w:eastAsia="lt-LT"/>
        </w:rPr>
        <w:t xml:space="preserve"> be based on </w:t>
      </w:r>
      <w:r w:rsidRPr="006663E2">
        <w:rPr>
          <w:rFonts w:ascii="Times New Roman" w:eastAsia="Times New Roman" w:hAnsi="Times New Roman" w:cs="Times New Roman"/>
          <w:sz w:val="24"/>
          <w:szCs w:val="24"/>
          <w:lang w:val="en-GB" w:eastAsia="lt-LT"/>
        </w:rPr>
        <w:t xml:space="preserve">the conducted </w:t>
      </w:r>
      <w:r w:rsidR="00630D29" w:rsidRPr="006663E2">
        <w:rPr>
          <w:rFonts w:ascii="Times New Roman" w:eastAsia="Times New Roman" w:hAnsi="Times New Roman" w:cs="Times New Roman"/>
          <w:sz w:val="24"/>
          <w:szCs w:val="24"/>
          <w:lang w:val="en-GB" w:eastAsia="lt-LT"/>
        </w:rPr>
        <w:t xml:space="preserve">market </w:t>
      </w:r>
      <w:r w:rsidRPr="006663E2">
        <w:rPr>
          <w:rFonts w:ascii="Times New Roman" w:eastAsia="Times New Roman" w:hAnsi="Times New Roman" w:cs="Times New Roman"/>
          <w:sz w:val="24"/>
          <w:szCs w:val="24"/>
          <w:lang w:val="en-GB" w:eastAsia="lt-LT"/>
        </w:rPr>
        <w:t>research</w:t>
      </w:r>
      <w:r w:rsidR="00630D29" w:rsidRPr="006663E2">
        <w:rPr>
          <w:rFonts w:ascii="Times New Roman" w:eastAsia="Times New Roman" w:hAnsi="Times New Roman" w:cs="Times New Roman"/>
          <w:sz w:val="24"/>
          <w:szCs w:val="24"/>
          <w:lang w:val="en-GB" w:eastAsia="lt-LT"/>
        </w:rPr>
        <w:t xml:space="preserve">. The recommended </w:t>
      </w:r>
      <w:r w:rsidRPr="006663E2">
        <w:rPr>
          <w:rFonts w:ascii="Times New Roman" w:eastAsia="Times New Roman" w:hAnsi="Times New Roman" w:cs="Times New Roman"/>
          <w:sz w:val="24"/>
          <w:szCs w:val="24"/>
          <w:lang w:val="en-GB" w:eastAsia="lt-LT"/>
        </w:rPr>
        <w:t>market research</w:t>
      </w:r>
      <w:r w:rsidR="00630D29" w:rsidRPr="006663E2">
        <w:rPr>
          <w:rFonts w:ascii="Times New Roman" w:eastAsia="Times New Roman" w:hAnsi="Times New Roman" w:cs="Times New Roman"/>
          <w:sz w:val="24"/>
          <w:szCs w:val="24"/>
          <w:lang w:val="en-GB" w:eastAsia="lt-LT"/>
        </w:rPr>
        <w:t xml:space="preserve"> summary </w:t>
      </w:r>
      <w:r w:rsidRPr="006663E2">
        <w:rPr>
          <w:rFonts w:ascii="Times New Roman" w:eastAsia="Times New Roman" w:hAnsi="Times New Roman" w:cs="Times New Roman"/>
          <w:sz w:val="24"/>
          <w:szCs w:val="24"/>
          <w:lang w:val="en-GB" w:eastAsia="lt-LT"/>
        </w:rPr>
        <w:t xml:space="preserve">form </w:t>
      </w:r>
      <w:r w:rsidR="00630D29" w:rsidRPr="006663E2">
        <w:rPr>
          <w:rFonts w:ascii="Times New Roman" w:eastAsia="Times New Roman" w:hAnsi="Times New Roman" w:cs="Times New Roman"/>
          <w:sz w:val="24"/>
          <w:szCs w:val="24"/>
          <w:lang w:val="en-GB" w:eastAsia="lt-LT"/>
        </w:rPr>
        <w:t>and explanations for its completion are provided in Annex 8 to the Guidelines.</w:t>
      </w:r>
    </w:p>
    <w:p w14:paraId="7EF42302" w14:textId="31996BD0" w:rsidR="00063A27" w:rsidRPr="006663E2" w:rsidRDefault="00431370" w:rsidP="00C540E2">
      <w:pPr>
        <w:pStyle w:val="ListParagraph"/>
        <w:numPr>
          <w:ilvl w:val="0"/>
          <w:numId w:val="12"/>
        </w:num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The following are the</w:t>
      </w:r>
      <w:r w:rsidR="00630D29" w:rsidRPr="006663E2">
        <w:rPr>
          <w:rFonts w:ascii="Times New Roman" w:eastAsia="Times New Roman" w:hAnsi="Times New Roman" w:cs="Times New Roman"/>
          <w:sz w:val="24"/>
          <w:szCs w:val="24"/>
          <w:lang w:val="en-GB" w:eastAsia="lt-LT"/>
        </w:rPr>
        <w:t xml:space="preserve"> categories of eligible or ineligible costs under this Call</w:t>
      </w:r>
      <w:r w:rsidR="00063A27" w:rsidRPr="006663E2">
        <w:rPr>
          <w:rFonts w:ascii="Times New Roman" w:eastAsia="Times New Roman" w:hAnsi="Times New Roman" w:cs="Times New Roman"/>
          <w:sz w:val="24"/>
          <w:szCs w:val="24"/>
          <w:lang w:val="en-GB" w:eastAsia="lt-LT"/>
        </w:rPr>
        <w:t>:</w:t>
      </w:r>
      <w:bookmarkStart w:id="9" w:name="part_8bfd4ba4024f4ac1b6965ef853c6d2bf"/>
      <w:bookmarkEnd w:id="9"/>
    </w:p>
    <w:p w14:paraId="793BD8B8" w14:textId="77777777" w:rsidR="00C540E2" w:rsidRPr="006663E2" w:rsidRDefault="00C540E2">
      <w:pPr>
        <w:rPr>
          <w:lang w:val="en-GB"/>
        </w:rPr>
      </w:pPr>
      <w:r w:rsidRPr="006663E2">
        <w:rPr>
          <w:lang w:val="en-GB"/>
        </w:rPr>
        <w:br w:type="page"/>
      </w: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1"/>
        <w:gridCol w:w="1507"/>
        <w:gridCol w:w="7346"/>
      </w:tblGrid>
      <w:tr w:rsidR="00B60AC6" w:rsidRPr="006663E2" w14:paraId="43D5420D" w14:textId="77777777" w:rsidTr="00C540E2">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F00AE5" w14:textId="7FBC6356" w:rsidR="00063A27" w:rsidRPr="006663E2" w:rsidRDefault="00431370" w:rsidP="00C540E2">
            <w:pPr>
              <w:shd w:val="clear" w:color="auto" w:fill="FFFFFF"/>
              <w:spacing w:after="120" w:line="240" w:lineRule="auto"/>
              <w:ind w:right="-57"/>
              <w:jc w:val="both"/>
              <w:rPr>
                <w:rFonts w:ascii="Times New Roman" w:eastAsia="Times New Roman" w:hAnsi="Times New Roman" w:cs="Times New Roman"/>
                <w:b/>
                <w:bCs/>
                <w:sz w:val="24"/>
                <w:szCs w:val="24"/>
                <w:lang w:val="en-GB" w:eastAsia="lt-LT"/>
              </w:rPr>
            </w:pPr>
            <w:r w:rsidRPr="006663E2">
              <w:rPr>
                <w:rFonts w:ascii="Times New Roman" w:eastAsia="Times New Roman" w:hAnsi="Times New Roman" w:cs="Times New Roman"/>
                <w:b/>
                <w:bCs/>
                <w:sz w:val="24"/>
                <w:szCs w:val="24"/>
                <w:lang w:val="en-GB" w:eastAsia="lt-LT"/>
              </w:rPr>
              <w:lastRenderedPageBreak/>
              <w:t>Cost category No</w:t>
            </w:r>
            <w:r w:rsidR="00063A27" w:rsidRPr="006663E2">
              <w:rPr>
                <w:rFonts w:ascii="Times New Roman" w:eastAsia="Times New Roman" w:hAnsi="Times New Roman" w:cs="Times New Roman"/>
                <w:b/>
                <w:bCs/>
                <w:sz w:val="24"/>
                <w:szCs w:val="24"/>
                <w:lang w:val="en-GB" w:eastAsia="lt-LT"/>
              </w:rPr>
              <w:t>.</w:t>
            </w:r>
          </w:p>
        </w:tc>
        <w:tc>
          <w:tcPr>
            <w:tcW w:w="1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EE71A" w14:textId="1141827F" w:rsidR="00063A27" w:rsidRPr="006663E2" w:rsidRDefault="00431370" w:rsidP="00C540E2">
            <w:pPr>
              <w:shd w:val="clear" w:color="auto" w:fill="FFFFFF"/>
              <w:spacing w:after="120" w:line="240" w:lineRule="auto"/>
              <w:ind w:right="-57"/>
              <w:jc w:val="center"/>
              <w:rPr>
                <w:rFonts w:ascii="Times New Roman" w:eastAsia="Times New Roman" w:hAnsi="Times New Roman" w:cs="Times New Roman"/>
                <w:b/>
                <w:bCs/>
                <w:sz w:val="24"/>
                <w:szCs w:val="24"/>
                <w:lang w:val="en-GB" w:eastAsia="lt-LT"/>
              </w:rPr>
            </w:pPr>
            <w:r w:rsidRPr="006663E2">
              <w:rPr>
                <w:rFonts w:ascii="Times New Roman" w:eastAsia="Times New Roman" w:hAnsi="Times New Roman" w:cs="Times New Roman"/>
                <w:b/>
                <w:bCs/>
                <w:sz w:val="24"/>
                <w:szCs w:val="24"/>
                <w:lang w:val="en-GB" w:eastAsia="lt-LT"/>
              </w:rPr>
              <w:t>Cost category name</w:t>
            </w:r>
          </w:p>
        </w:tc>
        <w:tc>
          <w:tcPr>
            <w:tcW w:w="73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4D0A7" w14:textId="3BA37663" w:rsidR="00063A27" w:rsidRPr="006663E2" w:rsidRDefault="00431370" w:rsidP="00C540E2">
            <w:pPr>
              <w:shd w:val="clear" w:color="auto" w:fill="FFFFFF"/>
              <w:spacing w:after="120" w:line="240" w:lineRule="auto"/>
              <w:ind w:left="567" w:right="-57"/>
              <w:jc w:val="center"/>
              <w:rPr>
                <w:rFonts w:ascii="Times New Roman" w:eastAsia="Times New Roman" w:hAnsi="Times New Roman" w:cs="Times New Roman"/>
                <w:b/>
                <w:bCs/>
                <w:sz w:val="24"/>
                <w:szCs w:val="24"/>
                <w:lang w:val="en-GB" w:eastAsia="lt-LT"/>
              </w:rPr>
            </w:pPr>
            <w:r w:rsidRPr="006663E2">
              <w:rPr>
                <w:rFonts w:ascii="Times New Roman" w:eastAsia="Times New Roman" w:hAnsi="Times New Roman" w:cs="Times New Roman"/>
                <w:b/>
                <w:bCs/>
                <w:sz w:val="24"/>
                <w:szCs w:val="24"/>
                <w:lang w:val="en-GB" w:eastAsia="lt-LT"/>
              </w:rPr>
              <w:t>Requirements and explanations</w:t>
            </w:r>
          </w:p>
        </w:tc>
      </w:tr>
      <w:tr w:rsidR="008D2C56" w:rsidRPr="006663E2" w14:paraId="0626FDEE" w14:textId="77777777" w:rsidTr="00002B9F">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D4A44" w14:textId="639EDAB9" w:rsidR="008D2C56" w:rsidRPr="006663E2" w:rsidRDefault="008D2C56" w:rsidP="00C540E2">
            <w:pPr>
              <w:shd w:val="clear" w:color="auto" w:fill="FFFFFF"/>
              <w:spacing w:after="120" w:line="240" w:lineRule="auto"/>
              <w:ind w:left="567" w:right="-57"/>
              <w:jc w:val="center"/>
              <w:rPr>
                <w:rFonts w:ascii="Times New Roman" w:eastAsia="Times New Roman" w:hAnsi="Times New Roman" w:cs="Times New Roman"/>
                <w:b/>
                <w:bCs/>
                <w:sz w:val="24"/>
                <w:szCs w:val="24"/>
                <w:lang w:val="en-GB" w:eastAsia="lt-LT"/>
              </w:rPr>
            </w:pPr>
            <w:r w:rsidRPr="006663E2">
              <w:rPr>
                <w:rFonts w:ascii="Times New Roman" w:eastAsia="Times New Roman" w:hAnsi="Times New Roman" w:cs="Times New Roman"/>
                <w:b/>
                <w:bCs/>
                <w:sz w:val="24"/>
                <w:szCs w:val="24"/>
                <w:lang w:val="en-GB" w:eastAsia="lt-LT"/>
              </w:rPr>
              <w:t>Direct costs</w:t>
            </w:r>
          </w:p>
        </w:tc>
      </w:tr>
      <w:tr w:rsidR="00B60AC6" w:rsidRPr="006663E2" w14:paraId="558FDE0D"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3CD14" w14:textId="77777777" w:rsidR="00063A27" w:rsidRPr="006663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1.</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F68BC" w14:textId="2484B40A" w:rsidR="00063A27" w:rsidRPr="006663E2" w:rsidRDefault="00B60AC6"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Land and real estate</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1C06D" w14:textId="75F7C926" w:rsidR="00063A27" w:rsidRPr="006663E2" w:rsidRDefault="00B60AC6"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Ineligible</w:t>
            </w:r>
            <w:r w:rsidR="00063A27" w:rsidRPr="006663E2">
              <w:rPr>
                <w:rFonts w:ascii="Times New Roman" w:eastAsia="Times New Roman" w:hAnsi="Times New Roman" w:cs="Times New Roman"/>
                <w:sz w:val="24"/>
                <w:szCs w:val="24"/>
                <w:lang w:val="en-GB" w:eastAsia="lt-LT"/>
              </w:rPr>
              <w:t>.</w:t>
            </w:r>
          </w:p>
        </w:tc>
      </w:tr>
      <w:tr w:rsidR="00B60AC6" w:rsidRPr="006663E2" w14:paraId="6E7176D2"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68B5E" w14:textId="77777777" w:rsidR="00063A27" w:rsidRPr="006663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2.</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D452E" w14:textId="61F9FB61" w:rsidR="00063A27" w:rsidRPr="006663E2" w:rsidRDefault="00B60AC6" w:rsidP="00C540E2">
            <w:pPr>
              <w:shd w:val="clear" w:color="auto" w:fill="FFFFFF"/>
              <w:spacing w:after="120" w:line="240" w:lineRule="auto"/>
              <w:ind w:left="34" w:right="-57"/>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Contractor works (construction, reconstruction, repair and other works)</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E0638" w14:textId="79841CA3" w:rsidR="00063A27" w:rsidRPr="006663E2" w:rsidRDefault="006C22D8" w:rsidP="00C540E2">
            <w:pPr>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Costs relating to simple repairs (without reconstruction or major overhaul) of the premises intended for </w:t>
            </w:r>
            <w:r w:rsidR="00EE0AC3" w:rsidRPr="006663E2">
              <w:rPr>
                <w:rFonts w:ascii="Times New Roman" w:eastAsia="Times New Roman" w:hAnsi="Times New Roman" w:cs="Times New Roman"/>
                <w:sz w:val="24"/>
                <w:szCs w:val="24"/>
                <w:lang w:val="en-GB" w:eastAsia="lt-LT"/>
              </w:rPr>
              <w:t xml:space="preserve">YFHCSs Coordination Centre </w:t>
            </w:r>
            <w:r w:rsidRPr="006663E2">
              <w:rPr>
                <w:rFonts w:ascii="Times New Roman" w:eastAsia="Times New Roman" w:hAnsi="Times New Roman" w:cs="Times New Roman"/>
                <w:sz w:val="24"/>
                <w:szCs w:val="24"/>
                <w:lang w:val="en-GB" w:eastAsia="lt-LT"/>
              </w:rPr>
              <w:t xml:space="preserve">required for the </w:t>
            </w:r>
            <w:r w:rsidR="00EE0AC3" w:rsidRPr="006663E2">
              <w:rPr>
                <w:rFonts w:ascii="Times New Roman" w:eastAsia="Times New Roman" w:hAnsi="Times New Roman" w:cs="Times New Roman"/>
                <w:sz w:val="24"/>
                <w:szCs w:val="24"/>
                <w:lang w:val="en-GB" w:eastAsia="lt-LT"/>
              </w:rPr>
              <w:t>development of the Model</w:t>
            </w:r>
            <w:r w:rsidRPr="006663E2">
              <w:rPr>
                <w:rFonts w:ascii="Times New Roman" w:eastAsia="Times New Roman" w:hAnsi="Times New Roman" w:cs="Times New Roman"/>
                <w:sz w:val="24"/>
                <w:szCs w:val="24"/>
                <w:lang w:val="en-GB" w:eastAsia="lt-LT"/>
              </w:rPr>
              <w:t xml:space="preserve"> may be financed.</w:t>
            </w:r>
            <w:r w:rsidRPr="006663E2">
              <w:rPr>
                <w:rFonts w:ascii="Times New Roman" w:hAnsi="Times New Roman" w:cs="Times New Roman"/>
                <w:sz w:val="24"/>
                <w:szCs w:val="24"/>
                <w:lang w:val="en-GB"/>
              </w:rPr>
              <w:t xml:space="preserve"> </w:t>
            </w:r>
            <w:r w:rsidRPr="006663E2">
              <w:rPr>
                <w:rFonts w:ascii="Times New Roman" w:eastAsia="Times New Roman" w:hAnsi="Times New Roman" w:cs="Times New Roman"/>
                <w:sz w:val="24"/>
                <w:szCs w:val="24"/>
                <w:lang w:val="en-GB" w:eastAsia="lt-LT"/>
              </w:rPr>
              <w:t>Costs on simple repairs may not exceed 20</w:t>
            </w:r>
            <w:r w:rsidR="004D3187" w:rsidRPr="006663E2">
              <w:rPr>
                <w:rFonts w:ascii="Times New Roman" w:eastAsia="Times New Roman" w:hAnsi="Times New Roman" w:cs="Times New Roman"/>
                <w:sz w:val="24"/>
                <w:szCs w:val="24"/>
                <w:lang w:val="en-GB" w:eastAsia="lt-LT"/>
              </w:rPr>
              <w:t xml:space="preserve"> </w:t>
            </w:r>
            <w:r w:rsidR="008F3D58" w:rsidRPr="006663E2">
              <w:rPr>
                <w:rFonts w:ascii="Times New Roman" w:eastAsia="Times New Roman" w:hAnsi="Times New Roman" w:cs="Times New Roman"/>
                <w:sz w:val="24"/>
                <w:szCs w:val="24"/>
                <w:lang w:val="en-GB" w:eastAsia="lt-LT"/>
              </w:rPr>
              <w:t>percent</w:t>
            </w:r>
            <w:r w:rsidRPr="006663E2">
              <w:rPr>
                <w:rFonts w:ascii="Times New Roman" w:eastAsia="Times New Roman" w:hAnsi="Times New Roman" w:cs="Times New Roman"/>
                <w:sz w:val="24"/>
                <w:szCs w:val="24"/>
                <w:lang w:val="en-GB" w:eastAsia="lt-LT"/>
              </w:rPr>
              <w:t>. eligible project costs</w:t>
            </w:r>
          </w:p>
        </w:tc>
      </w:tr>
      <w:tr w:rsidR="00B60AC6" w:rsidRPr="006663E2" w14:paraId="663CA5FC"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84663" w14:textId="77777777" w:rsidR="00063A27" w:rsidRPr="006663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3.</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0ED41" w14:textId="23D338B3" w:rsidR="00063A27" w:rsidRPr="006663E2" w:rsidRDefault="0039128B"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Fixed</w:t>
            </w:r>
            <w:r w:rsidR="00B60AC6" w:rsidRPr="006663E2">
              <w:rPr>
                <w:rFonts w:ascii="Times New Roman" w:eastAsia="Times New Roman" w:hAnsi="Times New Roman" w:cs="Times New Roman"/>
                <w:sz w:val="24"/>
                <w:szCs w:val="24"/>
                <w:lang w:val="en-GB" w:eastAsia="lt-LT"/>
              </w:rPr>
              <w:t xml:space="preserve"> assets</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CCA76" w14:textId="3376FF79" w:rsidR="00821057" w:rsidRPr="006663E2" w:rsidRDefault="00B60AC6" w:rsidP="00C540E2">
            <w:pPr>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Costs of depreciation of new or used equipment or devices (hereinafter all together referred to as equipment)</w:t>
            </w:r>
            <w:r w:rsidR="00BE5F24" w:rsidRPr="006663E2">
              <w:rPr>
                <w:rFonts w:ascii="Times New Roman" w:eastAsia="Calibri" w:hAnsi="Times New Roman" w:cs="Times New Roman"/>
                <w:sz w:val="24"/>
                <w:szCs w:val="24"/>
                <w:lang w:val="en-GB"/>
              </w:rPr>
              <w:t>,</w:t>
            </w:r>
            <w:r w:rsidRPr="006663E2">
              <w:rPr>
                <w:rFonts w:ascii="Times New Roman" w:eastAsia="Calibri" w:hAnsi="Times New Roman" w:cs="Times New Roman"/>
                <w:sz w:val="24"/>
                <w:szCs w:val="24"/>
                <w:lang w:val="en-GB"/>
              </w:rPr>
              <w:t xml:space="preserve"> necessary for the implementation of the project, achievement of project objectives and indicators, and project administration and publication, used in the project falling within the period of project implementation, provided that equipment is depreciated according to generally accepted accounting principles </w:t>
            </w:r>
            <w:r w:rsidR="00F107E7" w:rsidRPr="006663E2">
              <w:rPr>
                <w:rFonts w:ascii="Times New Roman" w:eastAsia="Calibri" w:hAnsi="Times New Roman" w:cs="Times New Roman"/>
                <w:sz w:val="24"/>
                <w:szCs w:val="24"/>
                <w:lang w:val="en-GB"/>
              </w:rPr>
              <w:t>which the P</w:t>
            </w:r>
            <w:r w:rsidRPr="006663E2">
              <w:rPr>
                <w:rFonts w:ascii="Times New Roman" w:eastAsia="Calibri" w:hAnsi="Times New Roman" w:cs="Times New Roman"/>
                <w:sz w:val="24"/>
                <w:szCs w:val="24"/>
                <w:lang w:val="en-GB"/>
              </w:rPr>
              <w:t xml:space="preserve">roject </w:t>
            </w:r>
            <w:r w:rsidR="00F107E7"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romoter or </w:t>
            </w:r>
            <w:r w:rsidR="00F107E7"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artner, or similar equipment in general</w:t>
            </w:r>
            <w:r w:rsidR="00F107E7" w:rsidRPr="006663E2">
              <w:rPr>
                <w:rFonts w:ascii="Times New Roman" w:eastAsia="Calibri" w:hAnsi="Times New Roman" w:cs="Times New Roman"/>
                <w:sz w:val="24"/>
                <w:szCs w:val="24"/>
                <w:lang w:val="en-GB"/>
              </w:rPr>
              <w:t>, is subject to</w:t>
            </w:r>
            <w:r w:rsidR="00063A27" w:rsidRPr="006663E2">
              <w:rPr>
                <w:rFonts w:ascii="Times New Roman" w:eastAsia="Calibri" w:hAnsi="Times New Roman" w:cs="Times New Roman"/>
                <w:sz w:val="24"/>
                <w:szCs w:val="24"/>
                <w:lang w:val="en-GB"/>
              </w:rPr>
              <w:t xml:space="preserve">. </w:t>
            </w:r>
          </w:p>
          <w:p w14:paraId="077ABD3C" w14:textId="46BA07D0" w:rsidR="00063A27" w:rsidRPr="006663E2" w:rsidRDefault="00821057" w:rsidP="00C540E2">
            <w:pPr>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If the equipment is an integral and necessary </w:t>
            </w:r>
            <w:r w:rsidR="00F37A93" w:rsidRPr="006663E2">
              <w:rPr>
                <w:rFonts w:ascii="Times New Roman" w:eastAsia="Calibri" w:hAnsi="Times New Roman" w:cs="Times New Roman"/>
                <w:sz w:val="24"/>
                <w:szCs w:val="24"/>
                <w:lang w:val="en-GB"/>
              </w:rPr>
              <w:t>component for achieving the outcomes of the project</w:t>
            </w:r>
            <w:r w:rsidRPr="006663E2">
              <w:rPr>
                <w:rFonts w:ascii="Times New Roman" w:eastAsia="Calibri" w:hAnsi="Times New Roman" w:cs="Times New Roman"/>
                <w:sz w:val="24"/>
                <w:szCs w:val="24"/>
                <w:lang w:val="en-GB"/>
              </w:rPr>
              <w:t xml:space="preserve">, the </w:t>
            </w:r>
            <w:r w:rsidR="00F37A93" w:rsidRPr="006663E2">
              <w:rPr>
                <w:rFonts w:ascii="Times New Roman" w:eastAsia="Calibri" w:hAnsi="Times New Roman" w:cs="Times New Roman"/>
                <w:sz w:val="24"/>
                <w:szCs w:val="24"/>
                <w:lang w:val="en-GB"/>
              </w:rPr>
              <w:t>entire purchase price</w:t>
            </w:r>
            <w:r w:rsidRPr="006663E2">
              <w:rPr>
                <w:rFonts w:ascii="Times New Roman" w:eastAsia="Calibri" w:hAnsi="Times New Roman" w:cs="Times New Roman"/>
                <w:sz w:val="24"/>
                <w:szCs w:val="24"/>
                <w:lang w:val="en-GB"/>
              </w:rPr>
              <w:t xml:space="preserve"> of </w:t>
            </w:r>
            <w:r w:rsidR="00F37A93" w:rsidRPr="006663E2">
              <w:rPr>
                <w:rFonts w:ascii="Times New Roman" w:eastAsia="Calibri" w:hAnsi="Times New Roman" w:cs="Times New Roman"/>
                <w:sz w:val="24"/>
                <w:szCs w:val="24"/>
                <w:lang w:val="en-GB"/>
              </w:rPr>
              <w:t>that</w:t>
            </w:r>
            <w:r w:rsidRPr="006663E2">
              <w:rPr>
                <w:rFonts w:ascii="Times New Roman" w:eastAsia="Calibri" w:hAnsi="Times New Roman" w:cs="Times New Roman"/>
                <w:sz w:val="24"/>
                <w:szCs w:val="24"/>
                <w:lang w:val="en-GB"/>
              </w:rPr>
              <w:t xml:space="preserve"> equipment may be recognized as eligible costs (this shall not apply to project administration and </w:t>
            </w:r>
            <w:r w:rsidR="00F107E7" w:rsidRPr="006663E2">
              <w:rPr>
                <w:rFonts w:ascii="Times New Roman" w:eastAsia="Calibri" w:hAnsi="Times New Roman" w:cs="Times New Roman"/>
                <w:sz w:val="24"/>
                <w:szCs w:val="24"/>
                <w:lang w:val="en-GB"/>
              </w:rPr>
              <w:t>publicity</w:t>
            </w:r>
            <w:r w:rsidRPr="006663E2">
              <w:rPr>
                <w:rFonts w:ascii="Times New Roman" w:eastAsia="Calibri" w:hAnsi="Times New Roman" w:cs="Times New Roman"/>
                <w:sz w:val="24"/>
                <w:szCs w:val="24"/>
                <w:lang w:val="en-GB"/>
              </w:rPr>
              <w:t>)</w:t>
            </w:r>
            <w:r w:rsidR="008F6928" w:rsidRPr="006663E2">
              <w:rPr>
                <w:rFonts w:ascii="Times New Roman" w:eastAsia="Calibri" w:hAnsi="Times New Roman" w:cs="Times New Roman"/>
                <w:sz w:val="24"/>
                <w:szCs w:val="24"/>
                <w:lang w:val="en-GB"/>
              </w:rPr>
              <w:t>. I</w:t>
            </w:r>
            <w:r w:rsidRPr="006663E2">
              <w:rPr>
                <w:rFonts w:ascii="Times New Roman" w:eastAsia="Calibri" w:hAnsi="Times New Roman" w:cs="Times New Roman"/>
                <w:sz w:val="24"/>
                <w:szCs w:val="24"/>
                <w:lang w:val="en-GB"/>
              </w:rPr>
              <w:t xml:space="preserve">n such a case, ensuring that the </w:t>
            </w:r>
            <w:r w:rsidR="00F107E7"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roject </w:t>
            </w:r>
            <w:r w:rsidR="00F107E7"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romoter </w:t>
            </w:r>
            <w:r w:rsidR="00F37A93" w:rsidRPr="006663E2">
              <w:rPr>
                <w:rFonts w:ascii="Times New Roman" w:eastAsia="Calibri" w:hAnsi="Times New Roman" w:cs="Times New Roman"/>
                <w:sz w:val="24"/>
                <w:szCs w:val="24"/>
                <w:lang w:val="en-GB"/>
              </w:rPr>
              <w:t xml:space="preserve">keeps </w:t>
            </w:r>
            <w:r w:rsidRPr="006663E2">
              <w:rPr>
                <w:rFonts w:ascii="Times New Roman" w:eastAsia="Calibri" w:hAnsi="Times New Roman" w:cs="Times New Roman"/>
                <w:sz w:val="24"/>
                <w:szCs w:val="24"/>
                <w:lang w:val="en-GB"/>
              </w:rPr>
              <w:t xml:space="preserve">the equipment </w:t>
            </w:r>
            <w:r w:rsidR="00F37A93" w:rsidRPr="006663E2">
              <w:rPr>
                <w:rFonts w:ascii="Times New Roman" w:eastAsia="Calibri" w:hAnsi="Times New Roman" w:cs="Times New Roman"/>
                <w:sz w:val="24"/>
                <w:szCs w:val="24"/>
                <w:lang w:val="en-GB"/>
              </w:rPr>
              <w:t>in its ownership for a period of at least five years following the completion of the project and continues to use that equipment for the benefit of the overall objectives of the project for the same period</w:t>
            </w:r>
            <w:r w:rsidRPr="006663E2">
              <w:rPr>
                <w:rFonts w:ascii="Times New Roman" w:eastAsia="Calibri" w:hAnsi="Times New Roman" w:cs="Times New Roman"/>
                <w:sz w:val="24"/>
                <w:szCs w:val="24"/>
                <w:lang w:val="en-GB"/>
              </w:rPr>
              <w:t xml:space="preserve">, </w:t>
            </w:r>
            <w:r w:rsidR="0086559B" w:rsidRPr="006663E2">
              <w:rPr>
                <w:rFonts w:ascii="Times New Roman" w:eastAsia="Calibri" w:hAnsi="Times New Roman" w:cs="Times New Roman"/>
                <w:sz w:val="24"/>
                <w:szCs w:val="24"/>
                <w:lang w:val="en-GB"/>
              </w:rPr>
              <w:t xml:space="preserve">keeps the equipment properly insured against losses such as fire, theft or other normally insurable incidents both during project implementation and for at least five years following the completion of the project, </w:t>
            </w:r>
            <w:r w:rsidRPr="006663E2">
              <w:rPr>
                <w:rFonts w:ascii="Times New Roman" w:eastAsia="Calibri" w:hAnsi="Times New Roman" w:cs="Times New Roman"/>
                <w:sz w:val="24"/>
                <w:szCs w:val="24"/>
                <w:lang w:val="en-GB"/>
              </w:rPr>
              <w:t>ensures proper equipment maintenance at least 5 years after the end of the project</w:t>
            </w:r>
            <w:r w:rsidR="00F107E7" w:rsidRPr="006663E2">
              <w:rPr>
                <w:rFonts w:ascii="Times New Roman" w:eastAsia="Calibri" w:hAnsi="Times New Roman" w:cs="Times New Roman"/>
                <w:sz w:val="24"/>
                <w:szCs w:val="24"/>
                <w:lang w:val="en-GB"/>
              </w:rPr>
              <w:t>,</w:t>
            </w:r>
            <w:r w:rsidRPr="006663E2">
              <w:rPr>
                <w:rFonts w:ascii="Times New Roman" w:eastAsia="Calibri" w:hAnsi="Times New Roman" w:cs="Times New Roman"/>
                <w:sz w:val="24"/>
                <w:szCs w:val="24"/>
                <w:lang w:val="en-GB"/>
              </w:rPr>
              <w:t xml:space="preserve"> shall be necessary, unless the project </w:t>
            </w:r>
            <w:r w:rsidR="0081545D" w:rsidRPr="006663E2">
              <w:rPr>
                <w:rFonts w:ascii="Times New Roman" w:eastAsia="Calibri" w:hAnsi="Times New Roman" w:cs="Times New Roman"/>
                <w:sz w:val="24"/>
                <w:szCs w:val="24"/>
                <w:lang w:val="en-GB"/>
              </w:rPr>
              <w:t>contract</w:t>
            </w:r>
            <w:r w:rsidRPr="006663E2">
              <w:rPr>
                <w:rFonts w:ascii="Times New Roman" w:eastAsia="Calibri" w:hAnsi="Times New Roman" w:cs="Times New Roman"/>
                <w:sz w:val="24"/>
                <w:szCs w:val="24"/>
                <w:lang w:val="en-GB"/>
              </w:rPr>
              <w:t xml:space="preserve"> establishes otherwise</w:t>
            </w:r>
            <w:r w:rsidR="008D2C56" w:rsidRPr="006663E2">
              <w:rPr>
                <w:rFonts w:ascii="Times New Roman" w:eastAsia="Calibri" w:hAnsi="Times New Roman" w:cs="Times New Roman"/>
                <w:sz w:val="24"/>
                <w:szCs w:val="24"/>
                <w:lang w:val="en-GB"/>
              </w:rPr>
              <w:t xml:space="preserve"> (insurance costs during the lifetime of the project may be eligible project funding)</w:t>
            </w:r>
            <w:r w:rsidRPr="006663E2">
              <w:rPr>
                <w:rFonts w:ascii="Times New Roman" w:eastAsia="Calibri" w:hAnsi="Times New Roman" w:cs="Times New Roman"/>
                <w:sz w:val="24"/>
                <w:szCs w:val="24"/>
                <w:lang w:val="en-GB"/>
              </w:rPr>
              <w:t xml:space="preserve">. Where a </w:t>
            </w:r>
            <w:r w:rsidR="00F107E7"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artner purchases equipment, the </w:t>
            </w:r>
            <w:r w:rsidR="00F107E7"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roject </w:t>
            </w:r>
            <w:r w:rsidR="00F107E7"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romoter shall ensure that the </w:t>
            </w:r>
            <w:r w:rsidR="00B63D26"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artner abides by the above provisions</w:t>
            </w:r>
            <w:r w:rsidR="00063A27" w:rsidRPr="006663E2">
              <w:rPr>
                <w:rFonts w:ascii="Times New Roman" w:eastAsia="Calibri" w:hAnsi="Times New Roman" w:cs="Times New Roman"/>
                <w:sz w:val="24"/>
                <w:szCs w:val="24"/>
                <w:lang w:val="en-GB"/>
              </w:rPr>
              <w:t xml:space="preserve">. </w:t>
            </w:r>
          </w:p>
          <w:p w14:paraId="263D2D4A" w14:textId="5E862A07" w:rsidR="00DA75AF" w:rsidRPr="006663E2" w:rsidRDefault="00DA75AF" w:rsidP="00C540E2">
            <w:pPr>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Movable tangible property used directly in carrying out project activities</w:t>
            </w:r>
            <w:r w:rsidR="00921D89" w:rsidRPr="006663E2">
              <w:rPr>
                <w:rFonts w:ascii="Times New Roman" w:eastAsia="Calibri" w:hAnsi="Times New Roman" w:cs="Times New Roman"/>
                <w:sz w:val="24"/>
                <w:szCs w:val="24"/>
                <w:lang w:val="en-GB"/>
              </w:rPr>
              <w:t>,</w:t>
            </w:r>
            <w:r w:rsidRPr="006663E2">
              <w:rPr>
                <w:rFonts w:ascii="Times New Roman" w:eastAsia="Calibri" w:hAnsi="Times New Roman" w:cs="Times New Roman"/>
                <w:sz w:val="24"/>
                <w:szCs w:val="24"/>
                <w:lang w:val="en-GB"/>
              </w:rPr>
              <w:t xml:space="preserve"> the cost of acquisition of which is EUR 1 000 and more (irrespective of the value which the </w:t>
            </w:r>
            <w:r w:rsidR="00921D89"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roject </w:t>
            </w:r>
            <w:r w:rsidR="00921D89"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romoter or </w:t>
            </w:r>
            <w:r w:rsidR="00921D89" w:rsidRPr="006663E2">
              <w:rPr>
                <w:rFonts w:ascii="Times New Roman" w:eastAsia="Calibri" w:hAnsi="Times New Roman" w:cs="Times New Roman"/>
                <w:sz w:val="24"/>
                <w:szCs w:val="24"/>
                <w:lang w:val="en-GB"/>
              </w:rPr>
              <w:t>the P</w:t>
            </w:r>
            <w:r w:rsidRPr="006663E2">
              <w:rPr>
                <w:rFonts w:ascii="Times New Roman" w:eastAsia="Calibri" w:hAnsi="Times New Roman" w:cs="Times New Roman"/>
                <w:sz w:val="24"/>
                <w:szCs w:val="24"/>
                <w:lang w:val="en-GB"/>
              </w:rPr>
              <w:t xml:space="preserve">artner considers the minimum value for categorizing the acquired assets as </w:t>
            </w:r>
            <w:r w:rsidR="002957C6" w:rsidRPr="006663E2">
              <w:rPr>
                <w:rFonts w:ascii="Times New Roman" w:eastAsia="Calibri" w:hAnsi="Times New Roman" w:cs="Times New Roman"/>
                <w:sz w:val="24"/>
                <w:szCs w:val="24"/>
                <w:lang w:val="en-GB"/>
              </w:rPr>
              <w:t>fixed</w:t>
            </w:r>
            <w:r w:rsidRPr="006663E2">
              <w:rPr>
                <w:rFonts w:ascii="Times New Roman" w:eastAsia="Calibri" w:hAnsi="Times New Roman" w:cs="Times New Roman"/>
                <w:sz w:val="24"/>
                <w:szCs w:val="24"/>
                <w:lang w:val="en-GB"/>
              </w:rPr>
              <w:t xml:space="preserve"> assets according to their accounting policy), such as movable or stationary objects, tools, machinery, mechanisms or instruments required to </w:t>
            </w:r>
            <w:r w:rsidR="0086559B" w:rsidRPr="006663E2">
              <w:rPr>
                <w:rFonts w:ascii="Times New Roman" w:eastAsia="Calibri" w:hAnsi="Times New Roman" w:cs="Times New Roman"/>
                <w:sz w:val="24"/>
                <w:szCs w:val="24"/>
                <w:lang w:val="en-GB"/>
              </w:rPr>
              <w:t xml:space="preserve">create an art </w:t>
            </w:r>
            <w:r w:rsidRPr="006663E2">
              <w:rPr>
                <w:rFonts w:ascii="Times New Roman" w:eastAsia="Calibri" w:hAnsi="Times New Roman" w:cs="Times New Roman"/>
                <w:sz w:val="24"/>
                <w:szCs w:val="24"/>
                <w:lang w:val="en-GB"/>
              </w:rPr>
              <w:t>work, when the following conditions are met</w:t>
            </w:r>
            <w:r w:rsidR="00921D89" w:rsidRPr="006663E2">
              <w:rPr>
                <w:rFonts w:ascii="Times New Roman" w:eastAsia="Calibri" w:hAnsi="Times New Roman" w:cs="Times New Roman"/>
                <w:sz w:val="24"/>
                <w:szCs w:val="24"/>
                <w:lang w:val="en-GB"/>
              </w:rPr>
              <w:t>,</w:t>
            </w:r>
            <w:r w:rsidRPr="006663E2">
              <w:rPr>
                <w:rFonts w:ascii="Times New Roman" w:eastAsia="Calibri" w:hAnsi="Times New Roman" w:cs="Times New Roman"/>
                <w:sz w:val="24"/>
                <w:szCs w:val="24"/>
                <w:lang w:val="en-GB"/>
              </w:rPr>
              <w:t xml:space="preserve"> shall be considered equipment: </w:t>
            </w:r>
            <w:r w:rsidR="00E755C8" w:rsidRPr="006663E2">
              <w:rPr>
                <w:rFonts w:ascii="Times New Roman" w:eastAsia="Calibri" w:hAnsi="Times New Roman" w:cs="Times New Roman"/>
                <w:sz w:val="24"/>
                <w:szCs w:val="24"/>
                <w:lang w:val="en-GB"/>
              </w:rPr>
              <w:t>the useful life of assets is more than one year when used for their intended purpose</w:t>
            </w:r>
            <w:r w:rsidR="00921D89" w:rsidRPr="006663E2">
              <w:rPr>
                <w:rFonts w:ascii="Times New Roman" w:eastAsia="Calibri" w:hAnsi="Times New Roman" w:cs="Times New Roman"/>
                <w:sz w:val="24"/>
                <w:szCs w:val="24"/>
                <w:lang w:val="en-GB"/>
              </w:rPr>
              <w:t>,</w:t>
            </w:r>
            <w:r w:rsidR="00E755C8" w:rsidRPr="006663E2">
              <w:rPr>
                <w:rFonts w:ascii="Times New Roman" w:eastAsia="Calibri" w:hAnsi="Times New Roman" w:cs="Times New Roman"/>
                <w:sz w:val="24"/>
                <w:szCs w:val="24"/>
                <w:lang w:val="en-GB"/>
              </w:rPr>
              <w:t xml:space="preserve"> and</w:t>
            </w:r>
            <w:r w:rsidR="00921D89" w:rsidRPr="006663E2">
              <w:rPr>
                <w:rFonts w:ascii="Times New Roman" w:eastAsia="Calibri" w:hAnsi="Times New Roman" w:cs="Times New Roman"/>
                <w:sz w:val="24"/>
                <w:szCs w:val="24"/>
                <w:lang w:val="en-GB"/>
              </w:rPr>
              <w:t xml:space="preserve"> the assets used</w:t>
            </w:r>
            <w:r w:rsidR="00E755C8" w:rsidRPr="006663E2">
              <w:rPr>
                <w:rFonts w:ascii="Times New Roman" w:eastAsia="Calibri" w:hAnsi="Times New Roman" w:cs="Times New Roman"/>
                <w:sz w:val="24"/>
                <w:szCs w:val="24"/>
                <w:lang w:val="en-GB"/>
              </w:rPr>
              <w:t xml:space="preserve"> retain their original form and appearance; when in case </w:t>
            </w:r>
            <w:r w:rsidRPr="006663E2">
              <w:rPr>
                <w:rFonts w:ascii="Times New Roman" w:eastAsia="Calibri" w:hAnsi="Times New Roman" w:cs="Times New Roman"/>
                <w:sz w:val="24"/>
                <w:szCs w:val="24"/>
                <w:lang w:val="en-GB"/>
              </w:rPr>
              <w:t>of damage</w:t>
            </w:r>
            <w:r w:rsidR="00E755C8" w:rsidRPr="006663E2">
              <w:rPr>
                <w:rFonts w:ascii="Times New Roman" w:eastAsia="Calibri" w:hAnsi="Times New Roman" w:cs="Times New Roman"/>
                <w:sz w:val="24"/>
                <w:szCs w:val="24"/>
                <w:lang w:val="en-GB"/>
              </w:rPr>
              <w:t xml:space="preserve"> of assets</w:t>
            </w:r>
            <w:r w:rsidRPr="006663E2">
              <w:rPr>
                <w:rFonts w:ascii="Times New Roman" w:eastAsia="Calibri" w:hAnsi="Times New Roman" w:cs="Times New Roman"/>
                <w:sz w:val="24"/>
                <w:szCs w:val="24"/>
                <w:lang w:val="en-GB"/>
              </w:rPr>
              <w:t xml:space="preserve">, </w:t>
            </w:r>
            <w:r w:rsidR="00E755C8" w:rsidRPr="006663E2">
              <w:rPr>
                <w:rFonts w:ascii="Times New Roman" w:eastAsia="Calibri" w:hAnsi="Times New Roman" w:cs="Times New Roman"/>
                <w:sz w:val="24"/>
                <w:szCs w:val="24"/>
                <w:lang w:val="en-GB"/>
              </w:rPr>
              <w:t xml:space="preserve">a </w:t>
            </w:r>
            <w:r w:rsidRPr="006663E2">
              <w:rPr>
                <w:rFonts w:ascii="Times New Roman" w:eastAsia="Calibri" w:hAnsi="Times New Roman" w:cs="Times New Roman"/>
                <w:sz w:val="24"/>
                <w:szCs w:val="24"/>
                <w:lang w:val="en-GB"/>
              </w:rPr>
              <w:t xml:space="preserve">loss or </w:t>
            </w:r>
            <w:r w:rsidR="00E755C8" w:rsidRPr="006663E2">
              <w:rPr>
                <w:rFonts w:ascii="Times New Roman" w:eastAsia="Calibri" w:hAnsi="Times New Roman" w:cs="Times New Roman"/>
                <w:sz w:val="24"/>
                <w:szCs w:val="24"/>
                <w:lang w:val="en-GB"/>
              </w:rPr>
              <w:t>depreciation of parts thereof fixing</w:t>
            </w:r>
            <w:r w:rsidR="00921D89" w:rsidRPr="006663E2">
              <w:rPr>
                <w:rFonts w:ascii="Times New Roman" w:eastAsia="Calibri" w:hAnsi="Times New Roman" w:cs="Times New Roman"/>
                <w:sz w:val="24"/>
                <w:szCs w:val="24"/>
                <w:lang w:val="en-GB"/>
              </w:rPr>
              <w:t xml:space="preserve"> the</w:t>
            </w:r>
            <w:r w:rsidR="00E755C8" w:rsidRPr="006663E2">
              <w:rPr>
                <w:rFonts w:ascii="Times New Roman" w:eastAsia="Calibri" w:hAnsi="Times New Roman" w:cs="Times New Roman"/>
                <w:sz w:val="24"/>
                <w:szCs w:val="24"/>
                <w:lang w:val="en-GB"/>
              </w:rPr>
              <w:t xml:space="preserve"> assets </w:t>
            </w:r>
            <w:r w:rsidRPr="006663E2">
              <w:rPr>
                <w:rFonts w:ascii="Times New Roman" w:eastAsia="Calibri" w:hAnsi="Times New Roman" w:cs="Times New Roman"/>
                <w:sz w:val="24"/>
                <w:szCs w:val="24"/>
                <w:lang w:val="en-GB"/>
              </w:rPr>
              <w:t>than replac</w:t>
            </w:r>
            <w:r w:rsidR="00E755C8" w:rsidRPr="006663E2">
              <w:rPr>
                <w:rFonts w:ascii="Times New Roman" w:eastAsia="Calibri" w:hAnsi="Times New Roman" w:cs="Times New Roman"/>
                <w:sz w:val="24"/>
                <w:szCs w:val="24"/>
                <w:lang w:val="en-GB"/>
              </w:rPr>
              <w:t>ing them with new ones is more expedient</w:t>
            </w:r>
            <w:r w:rsidRPr="006663E2">
              <w:rPr>
                <w:rFonts w:ascii="Times New Roman" w:eastAsia="Calibri" w:hAnsi="Times New Roman" w:cs="Times New Roman"/>
                <w:sz w:val="24"/>
                <w:szCs w:val="24"/>
                <w:lang w:val="en-GB"/>
              </w:rPr>
              <w:t xml:space="preserve">; </w:t>
            </w:r>
            <w:r w:rsidRPr="006663E2">
              <w:rPr>
                <w:rFonts w:ascii="Times New Roman" w:eastAsia="Calibri" w:hAnsi="Times New Roman" w:cs="Times New Roman"/>
                <w:sz w:val="24"/>
                <w:szCs w:val="24"/>
                <w:lang w:val="en-GB"/>
              </w:rPr>
              <w:lastRenderedPageBreak/>
              <w:t xml:space="preserve">assets do not lose their identity (ability to perform functions) even when </w:t>
            </w:r>
            <w:r w:rsidR="00E755C8" w:rsidRPr="006663E2">
              <w:rPr>
                <w:rFonts w:ascii="Times New Roman" w:eastAsia="Calibri" w:hAnsi="Times New Roman" w:cs="Times New Roman"/>
                <w:sz w:val="24"/>
                <w:szCs w:val="24"/>
                <w:lang w:val="en-GB"/>
              </w:rPr>
              <w:t>integrated</w:t>
            </w:r>
            <w:r w:rsidRPr="006663E2">
              <w:rPr>
                <w:rFonts w:ascii="Times New Roman" w:eastAsia="Calibri" w:hAnsi="Times New Roman" w:cs="Times New Roman"/>
                <w:sz w:val="24"/>
                <w:szCs w:val="24"/>
                <w:lang w:val="en-GB"/>
              </w:rPr>
              <w:t xml:space="preserve"> into another more complex unit.</w:t>
            </w:r>
          </w:p>
          <w:p w14:paraId="13FF4408" w14:textId="10D8EBB6" w:rsidR="00DA75AF" w:rsidRPr="006663E2" w:rsidRDefault="00E755C8" w:rsidP="00C540E2">
            <w:pPr>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In cases when it may or is used for other than</w:t>
            </w:r>
            <w:r w:rsidR="003569DE" w:rsidRPr="006663E2">
              <w:rPr>
                <w:rFonts w:ascii="Times New Roman" w:eastAsia="Calibri" w:hAnsi="Times New Roman" w:cs="Times New Roman"/>
                <w:sz w:val="24"/>
                <w:szCs w:val="24"/>
                <w:lang w:val="en-GB"/>
              </w:rPr>
              <w:t xml:space="preserve"> the</w:t>
            </w:r>
            <w:r w:rsidRPr="006663E2">
              <w:rPr>
                <w:rFonts w:ascii="Times New Roman" w:eastAsia="Calibri" w:hAnsi="Times New Roman" w:cs="Times New Roman"/>
                <w:sz w:val="24"/>
                <w:szCs w:val="24"/>
                <w:lang w:val="en-GB"/>
              </w:rPr>
              <w:t xml:space="preserve"> project</w:t>
            </w:r>
            <w:r w:rsidR="003569DE" w:rsidRPr="006663E2">
              <w:rPr>
                <w:rFonts w:ascii="Times New Roman" w:eastAsia="Calibri" w:hAnsi="Times New Roman" w:cs="Times New Roman"/>
                <w:sz w:val="24"/>
                <w:szCs w:val="24"/>
                <w:lang w:val="en-GB"/>
              </w:rPr>
              <w:t>’s</w:t>
            </w:r>
            <w:r w:rsidRPr="006663E2">
              <w:rPr>
                <w:rFonts w:ascii="Times New Roman" w:eastAsia="Calibri" w:hAnsi="Times New Roman" w:cs="Times New Roman"/>
                <w:sz w:val="24"/>
                <w:szCs w:val="24"/>
                <w:lang w:val="en-GB"/>
              </w:rPr>
              <w:t xml:space="preserve"> purposes, costs of depreciation or</w:t>
            </w:r>
            <w:r w:rsidR="00DA75AF" w:rsidRPr="006663E2">
              <w:rPr>
                <w:rFonts w:ascii="Times New Roman" w:eastAsia="Calibri" w:hAnsi="Times New Roman" w:cs="Times New Roman"/>
                <w:sz w:val="24"/>
                <w:szCs w:val="24"/>
                <w:lang w:val="en-GB"/>
              </w:rPr>
              <w:t xml:space="preserve"> acquisition of the equipment (if applicable) </w:t>
            </w:r>
            <w:r w:rsidR="00731803" w:rsidRPr="006663E2">
              <w:rPr>
                <w:rFonts w:ascii="Times New Roman" w:eastAsia="Calibri" w:hAnsi="Times New Roman" w:cs="Times New Roman"/>
                <w:sz w:val="24"/>
                <w:szCs w:val="24"/>
                <w:lang w:val="en-GB"/>
              </w:rPr>
              <w:t>shall be</w:t>
            </w:r>
            <w:r w:rsidR="00DA75AF" w:rsidRPr="006663E2">
              <w:rPr>
                <w:rFonts w:ascii="Times New Roman" w:eastAsia="Calibri" w:hAnsi="Times New Roman" w:cs="Times New Roman"/>
                <w:sz w:val="24"/>
                <w:szCs w:val="24"/>
                <w:lang w:val="en-GB"/>
              </w:rPr>
              <w:t xml:space="preserve"> financed </w:t>
            </w:r>
            <w:r w:rsidR="003569DE" w:rsidRPr="006663E2">
              <w:rPr>
                <w:rFonts w:ascii="Times New Roman" w:eastAsia="Calibri" w:hAnsi="Times New Roman" w:cs="Times New Roman"/>
                <w:sz w:val="24"/>
                <w:szCs w:val="24"/>
                <w:lang w:val="en-GB"/>
              </w:rPr>
              <w:t xml:space="preserve">in application of the </w:t>
            </w:r>
            <w:r w:rsidR="00DA75AF" w:rsidRPr="006663E2">
              <w:rPr>
                <w:rFonts w:ascii="Times New Roman" w:eastAsia="Calibri" w:hAnsi="Times New Roman" w:cs="Times New Roman"/>
                <w:i/>
                <w:iCs/>
                <w:sz w:val="24"/>
                <w:szCs w:val="24"/>
                <w:lang w:val="en-GB"/>
              </w:rPr>
              <w:t>pro-rata</w:t>
            </w:r>
            <w:r w:rsidR="00DA75AF" w:rsidRPr="006663E2">
              <w:rPr>
                <w:rFonts w:ascii="Times New Roman" w:eastAsia="Calibri" w:hAnsi="Times New Roman" w:cs="Times New Roman"/>
                <w:sz w:val="24"/>
                <w:szCs w:val="24"/>
                <w:lang w:val="en-GB"/>
              </w:rPr>
              <w:t xml:space="preserve"> </w:t>
            </w:r>
            <w:r w:rsidR="003569DE" w:rsidRPr="006663E2">
              <w:rPr>
                <w:rFonts w:ascii="Times New Roman" w:eastAsia="Calibri" w:hAnsi="Times New Roman" w:cs="Times New Roman"/>
                <w:sz w:val="24"/>
                <w:szCs w:val="24"/>
                <w:lang w:val="en-GB"/>
              </w:rPr>
              <w:t>principle</w:t>
            </w:r>
            <w:r w:rsidR="00DA75AF" w:rsidRPr="006663E2">
              <w:rPr>
                <w:rFonts w:ascii="Times New Roman" w:eastAsia="Calibri" w:hAnsi="Times New Roman" w:cs="Times New Roman"/>
                <w:sz w:val="24"/>
                <w:szCs w:val="24"/>
                <w:lang w:val="en-GB"/>
              </w:rPr>
              <w:t xml:space="preserve"> (taking into account the proportion of</w:t>
            </w:r>
            <w:r w:rsidR="003569DE" w:rsidRPr="006663E2">
              <w:rPr>
                <w:rFonts w:ascii="Times New Roman" w:eastAsia="Calibri" w:hAnsi="Times New Roman" w:cs="Times New Roman"/>
                <w:sz w:val="24"/>
                <w:szCs w:val="24"/>
                <w:lang w:val="en-GB"/>
              </w:rPr>
              <w:t xml:space="preserve"> the use of</w:t>
            </w:r>
            <w:r w:rsidR="00DA75AF" w:rsidRPr="006663E2">
              <w:rPr>
                <w:rFonts w:ascii="Times New Roman" w:eastAsia="Calibri" w:hAnsi="Times New Roman" w:cs="Times New Roman"/>
                <w:sz w:val="24"/>
                <w:szCs w:val="24"/>
                <w:lang w:val="en-GB"/>
              </w:rPr>
              <w:t xml:space="preserve"> equipment </w:t>
            </w:r>
            <w:r w:rsidR="00731803" w:rsidRPr="006663E2">
              <w:rPr>
                <w:rFonts w:ascii="Times New Roman" w:eastAsia="Calibri" w:hAnsi="Times New Roman" w:cs="Times New Roman"/>
                <w:sz w:val="24"/>
                <w:szCs w:val="24"/>
                <w:lang w:val="en-GB"/>
              </w:rPr>
              <w:t xml:space="preserve">for project </w:t>
            </w:r>
            <w:r w:rsidR="00DA75AF" w:rsidRPr="006663E2">
              <w:rPr>
                <w:rFonts w:ascii="Times New Roman" w:eastAsia="Calibri" w:hAnsi="Times New Roman" w:cs="Times New Roman"/>
                <w:sz w:val="24"/>
                <w:szCs w:val="24"/>
                <w:lang w:val="en-GB"/>
              </w:rPr>
              <w:t>and other purposes).</w:t>
            </w:r>
          </w:p>
          <w:p w14:paraId="17EC7B23" w14:textId="657786DE" w:rsidR="007A12F5" w:rsidRPr="006663E2" w:rsidRDefault="003569DE" w:rsidP="00C540E2">
            <w:pPr>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Calibri" w:hAnsi="Times New Roman" w:cs="Times New Roman"/>
                <w:sz w:val="24"/>
                <w:szCs w:val="24"/>
                <w:lang w:val="en-GB"/>
              </w:rPr>
              <w:t>Costs for</w:t>
            </w:r>
            <w:r w:rsidR="00DA75AF" w:rsidRPr="006663E2">
              <w:rPr>
                <w:rFonts w:ascii="Times New Roman" w:eastAsia="Calibri" w:hAnsi="Times New Roman" w:cs="Times New Roman"/>
                <w:sz w:val="24"/>
                <w:szCs w:val="24"/>
                <w:lang w:val="en-GB"/>
              </w:rPr>
              <w:t xml:space="preserve"> </w:t>
            </w:r>
            <w:r w:rsidR="002957C6" w:rsidRPr="006663E2">
              <w:rPr>
                <w:rFonts w:ascii="Times New Roman" w:eastAsia="Calibri" w:hAnsi="Times New Roman" w:cs="Times New Roman"/>
                <w:sz w:val="24"/>
                <w:szCs w:val="24"/>
                <w:lang w:val="en-GB"/>
              </w:rPr>
              <w:t>fixed</w:t>
            </w:r>
            <w:r w:rsidR="000D3CEE" w:rsidRPr="006663E2">
              <w:rPr>
                <w:rFonts w:ascii="Times New Roman" w:eastAsia="Calibri" w:hAnsi="Times New Roman" w:cs="Times New Roman"/>
                <w:sz w:val="24"/>
                <w:szCs w:val="24"/>
                <w:lang w:val="en-GB"/>
              </w:rPr>
              <w:t xml:space="preserve"> assets may not exceed 2</w:t>
            </w:r>
            <w:r w:rsidR="00DA75AF" w:rsidRPr="006663E2">
              <w:rPr>
                <w:rFonts w:ascii="Times New Roman" w:eastAsia="Calibri" w:hAnsi="Times New Roman" w:cs="Times New Roman"/>
                <w:sz w:val="24"/>
                <w:szCs w:val="24"/>
                <w:lang w:val="en-GB"/>
              </w:rPr>
              <w:t>0</w:t>
            </w:r>
            <w:r w:rsidR="008F3D58" w:rsidRPr="006663E2">
              <w:rPr>
                <w:rFonts w:ascii="Times New Roman" w:eastAsia="Calibri" w:hAnsi="Times New Roman" w:cs="Times New Roman"/>
                <w:sz w:val="24"/>
                <w:szCs w:val="24"/>
                <w:lang w:val="en-GB"/>
              </w:rPr>
              <w:t xml:space="preserve"> percent</w:t>
            </w:r>
            <w:r w:rsidRPr="006663E2">
              <w:rPr>
                <w:rFonts w:ascii="Times New Roman" w:eastAsia="Calibri" w:hAnsi="Times New Roman" w:cs="Times New Roman"/>
                <w:sz w:val="24"/>
                <w:szCs w:val="24"/>
                <w:lang w:val="en-GB"/>
              </w:rPr>
              <w:t xml:space="preserve"> of </w:t>
            </w:r>
            <w:r w:rsidR="00DA75AF" w:rsidRPr="006663E2">
              <w:rPr>
                <w:rFonts w:ascii="Times New Roman" w:eastAsia="Calibri" w:hAnsi="Times New Roman" w:cs="Times New Roman"/>
                <w:sz w:val="24"/>
                <w:szCs w:val="24"/>
                <w:lang w:val="en-GB"/>
              </w:rPr>
              <w:t>eligible</w:t>
            </w:r>
            <w:r w:rsidRPr="006663E2">
              <w:rPr>
                <w:rFonts w:ascii="Times New Roman" w:eastAsia="Calibri" w:hAnsi="Times New Roman" w:cs="Times New Roman"/>
                <w:sz w:val="24"/>
                <w:szCs w:val="24"/>
                <w:lang w:val="en-GB"/>
              </w:rPr>
              <w:t xml:space="preserve"> project</w:t>
            </w:r>
            <w:r w:rsidR="00DA75AF" w:rsidRPr="006663E2">
              <w:rPr>
                <w:rFonts w:ascii="Times New Roman" w:eastAsia="Calibri" w:hAnsi="Times New Roman" w:cs="Times New Roman"/>
                <w:sz w:val="24"/>
                <w:szCs w:val="24"/>
                <w:lang w:val="en-GB"/>
              </w:rPr>
              <w:t xml:space="preserve"> costs</w:t>
            </w:r>
            <w:r w:rsidRPr="006663E2">
              <w:rPr>
                <w:rFonts w:ascii="Times New Roman" w:eastAsia="Calibri" w:hAnsi="Times New Roman" w:cs="Times New Roman"/>
                <w:sz w:val="24"/>
                <w:szCs w:val="24"/>
                <w:lang w:val="en-GB"/>
              </w:rPr>
              <w:t>.</w:t>
            </w:r>
          </w:p>
        </w:tc>
      </w:tr>
      <w:tr w:rsidR="00B60AC6" w:rsidRPr="006663E2" w14:paraId="7B847650"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B89E32" w14:textId="77777777" w:rsidR="00063A27" w:rsidRPr="006663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lastRenderedPageBreak/>
              <w:t>4.</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9C25A" w14:textId="21AB2C1A" w:rsidR="00063A27" w:rsidRPr="006663E2" w:rsidRDefault="003569DE"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Goods (current assets) and services</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F426B" w14:textId="1E55996D" w:rsidR="00063A27" w:rsidRPr="006663E2" w:rsidRDefault="00C04519"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Costs of acquisition of goods and services </w:t>
            </w:r>
            <w:r w:rsidR="00731803" w:rsidRPr="006663E2">
              <w:rPr>
                <w:rFonts w:ascii="Times New Roman" w:eastAsia="Calibri" w:hAnsi="Times New Roman" w:cs="Times New Roman"/>
                <w:sz w:val="24"/>
                <w:szCs w:val="24"/>
                <w:lang w:val="en-GB"/>
              </w:rPr>
              <w:t xml:space="preserve">necessary for the </w:t>
            </w:r>
            <w:r w:rsidR="004C608B" w:rsidRPr="006663E2">
              <w:rPr>
                <w:rFonts w:ascii="Times New Roman" w:eastAsia="Calibri" w:hAnsi="Times New Roman" w:cs="Times New Roman"/>
                <w:sz w:val="24"/>
                <w:szCs w:val="24"/>
                <w:lang w:val="en-GB"/>
              </w:rPr>
              <w:t>implementation</w:t>
            </w:r>
            <w:r w:rsidR="00731803" w:rsidRPr="006663E2">
              <w:rPr>
                <w:rFonts w:ascii="Times New Roman" w:eastAsia="Calibri" w:hAnsi="Times New Roman" w:cs="Times New Roman"/>
                <w:sz w:val="24"/>
                <w:szCs w:val="24"/>
                <w:lang w:val="en-GB"/>
              </w:rPr>
              <w:t xml:space="preserve"> of the project, the achievement of goals and indicators of the project, and project administration and </w:t>
            </w:r>
            <w:r w:rsidR="00921D89" w:rsidRPr="006663E2">
              <w:rPr>
                <w:rFonts w:ascii="Times New Roman" w:eastAsia="Calibri" w:hAnsi="Times New Roman" w:cs="Times New Roman"/>
                <w:sz w:val="24"/>
                <w:szCs w:val="24"/>
                <w:lang w:val="en-GB"/>
              </w:rPr>
              <w:t>publicity</w:t>
            </w:r>
            <w:r w:rsidR="00063A27" w:rsidRPr="006663E2">
              <w:rPr>
                <w:rFonts w:ascii="Times New Roman" w:eastAsia="Calibri" w:hAnsi="Times New Roman" w:cs="Times New Roman"/>
                <w:sz w:val="24"/>
                <w:szCs w:val="24"/>
                <w:lang w:val="en-GB"/>
              </w:rPr>
              <w:t>.</w:t>
            </w:r>
          </w:p>
          <w:p w14:paraId="2DC1B689" w14:textId="6CD753B8" w:rsidR="00BA7DC5" w:rsidRPr="006663E2" w:rsidRDefault="00731803"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6663E2">
              <w:rPr>
                <w:rFonts w:ascii="Times New Roman" w:hAnsi="Times New Roman" w:cs="Times New Roman"/>
                <w:sz w:val="24"/>
                <w:szCs w:val="24"/>
                <w:lang w:val="en-GB"/>
              </w:rPr>
              <w:t xml:space="preserve">In cases where they may or are </w:t>
            </w:r>
            <w:r w:rsidRPr="006663E2">
              <w:rPr>
                <w:rFonts w:ascii="Times New Roman" w:eastAsia="Calibri" w:hAnsi="Times New Roman" w:cs="Times New Roman"/>
                <w:sz w:val="24"/>
                <w:szCs w:val="24"/>
                <w:lang w:val="en-GB"/>
              </w:rPr>
              <w:t xml:space="preserve">used for other than the project’s purposes, the costs of acquisition of goods from the project’s funds shall be financed in application of the </w:t>
            </w:r>
            <w:r w:rsidRPr="006663E2">
              <w:rPr>
                <w:rFonts w:ascii="Times New Roman" w:eastAsia="Calibri" w:hAnsi="Times New Roman" w:cs="Times New Roman"/>
                <w:i/>
                <w:iCs/>
                <w:sz w:val="24"/>
                <w:szCs w:val="24"/>
                <w:lang w:val="en-GB"/>
              </w:rPr>
              <w:t>pro-rata</w:t>
            </w:r>
            <w:r w:rsidRPr="006663E2">
              <w:rPr>
                <w:rFonts w:ascii="Times New Roman" w:eastAsia="Calibri" w:hAnsi="Times New Roman" w:cs="Times New Roman"/>
                <w:sz w:val="24"/>
                <w:szCs w:val="24"/>
                <w:lang w:val="en-GB"/>
              </w:rPr>
              <w:t xml:space="preserve"> principle (taking into account the proportion of the use of equipment for project and other purposes</w:t>
            </w:r>
            <w:r w:rsidR="00BA7DC5" w:rsidRPr="006663E2">
              <w:rPr>
                <w:rFonts w:ascii="Times New Roman" w:hAnsi="Times New Roman" w:cs="Times New Roman"/>
                <w:sz w:val="24"/>
                <w:szCs w:val="24"/>
                <w:lang w:val="en-GB"/>
              </w:rPr>
              <w:t>).</w:t>
            </w:r>
          </w:p>
        </w:tc>
      </w:tr>
      <w:tr w:rsidR="00B60AC6" w:rsidRPr="006663E2" w14:paraId="3DC0E4F7"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BE562" w14:textId="77777777" w:rsidR="00063A27" w:rsidRPr="006663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5.</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5BA010" w14:textId="7804E1C2" w:rsidR="00063A27" w:rsidRPr="006663E2" w:rsidRDefault="004C608B"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Business trips and traveling </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F8D564" w14:textId="77777777" w:rsidR="00EE0AC3" w:rsidRPr="006663E2" w:rsidRDefault="00EE0AC3"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Costs of traveling and business trips of employees carrying out and administering project activities and engaged in publicizing project activities, including daily allowances.</w:t>
            </w:r>
          </w:p>
          <w:p w14:paraId="491F2F4D" w14:textId="77777777" w:rsidR="00EE0AC3" w:rsidRPr="006663E2" w:rsidRDefault="00EE0AC3"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All Project Promoters and / or Partners from Lithuania, irrespective of their legal status, shall be subject to provisions of the Resolution No. 526 of the Government of the Republic of Lithuania of 29 April 2004 “Regarding the Payment of Daily Allowances and Compensation of Other Business Trip Expenses” (except for cases where expenses are declared and compensated in a simplified procedure).</w:t>
            </w:r>
          </w:p>
          <w:p w14:paraId="4C666BDF" w14:textId="4D06698A" w:rsidR="00EE0AC3" w:rsidRPr="006663E2" w:rsidRDefault="00EE0AC3" w:rsidP="00C540E2">
            <w:pPr>
              <w:shd w:val="clear" w:color="auto" w:fill="FFFFFF"/>
              <w:spacing w:after="120" w:line="240" w:lineRule="auto"/>
              <w:ind w:left="33"/>
              <w:jc w:val="both"/>
              <w:rPr>
                <w:rFonts w:ascii="Times New Roman" w:eastAsia="Calibri" w:hAnsi="Times New Roman" w:cs="Times New Roman"/>
                <w:bCs/>
                <w:sz w:val="24"/>
                <w:szCs w:val="24"/>
                <w:lang w:val="en-GB"/>
              </w:rPr>
            </w:pPr>
            <w:r w:rsidRPr="006663E2">
              <w:rPr>
                <w:rFonts w:ascii="Times New Roman" w:eastAsia="Calibri" w:hAnsi="Times New Roman" w:cs="Times New Roman"/>
                <w:sz w:val="24"/>
                <w:szCs w:val="24"/>
                <w:lang w:val="en-GB"/>
              </w:rPr>
              <w:t xml:space="preserve">Expenses of business trips and traveling abroad (where they last for more than 1 day) (excluding costs of traveling abroad and going back in all types of vehicles) shall be declared and compensated in a simplified procedure in application of the respective per diem rates of the European Commission (which cover costs of travel insurance, accommodation, meals, local trips and other necessary travel expenses abroad) (unit costs) </w:t>
            </w:r>
            <w:r w:rsidRPr="006663E2">
              <w:rPr>
                <w:rFonts w:ascii="Times New Roman" w:eastAsia="Calibri" w:hAnsi="Times New Roman" w:cs="Times New Roman"/>
                <w:bCs/>
                <w:sz w:val="24"/>
                <w:szCs w:val="24"/>
                <w:lang w:val="en-GB"/>
              </w:rPr>
              <w:t xml:space="preserve">(also available here: </w:t>
            </w:r>
            <w:hyperlink r:id="rId12" w:history="1">
              <w:r w:rsidRPr="006663E2">
                <w:rPr>
                  <w:rStyle w:val="Hyperlink"/>
                  <w:rFonts w:ascii="Times New Roman" w:eastAsia="Calibri" w:hAnsi="Times New Roman" w:cs="Times New Roman"/>
                  <w:bCs/>
                  <w:sz w:val="24"/>
                  <w:szCs w:val="24"/>
                  <w:lang w:val="en-GB"/>
                </w:rPr>
                <w:t>https://www.cpva.lt/data/public/uploads/2020/01/europos-komisijos-skelbiamos-dienpinigiu-normos-perdiems-2017-03-17_en.pdf</w:t>
              </w:r>
            </w:hyperlink>
            <w:r w:rsidRPr="006663E2">
              <w:rPr>
                <w:rFonts w:ascii="Times New Roman" w:eastAsia="Calibri" w:hAnsi="Times New Roman" w:cs="Times New Roman"/>
                <w:bCs/>
                <w:sz w:val="24"/>
                <w:szCs w:val="24"/>
                <w:lang w:val="en-GB"/>
              </w:rPr>
              <w:t xml:space="preserve"> ). The per diems applied during the implementation of the project shall remain unchanged.</w:t>
            </w:r>
          </w:p>
          <w:p w14:paraId="10452E1F" w14:textId="2250E06A" w:rsidR="00EE0AC3" w:rsidRPr="006663E2" w:rsidRDefault="00EE0AC3"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6663E2">
              <w:rPr>
                <w:rFonts w:ascii="Times New Roman" w:eastAsia="Calibri" w:hAnsi="Times New Roman" w:cs="Times New Roman"/>
                <w:sz w:val="24"/>
                <w:szCs w:val="24"/>
                <w:lang w:val="en-GB"/>
              </w:rPr>
              <w:t xml:space="preserve">Travel expenses incurred during the business trips and traveling within the territory of the Republic of Lithuania (fuel or public transportation expenses) shall be declared and compensated on a simplified bases, applying the unit costs per 1 km (EUR 0.07/ km exclusive of VAT, or EUR 0.08/ km inclusive of VAT), set in the Report No. FĮ-005 on the Analysis for Setting Unit costs of Fuel and Public Transportation Expenses (edition of 24 April 2015) of the Ministry of Finance of the Republic of Lithuania, available on the website </w:t>
            </w:r>
            <w:hyperlink r:id="rId13" w:history="1">
              <w:r w:rsidRPr="006663E2">
                <w:rPr>
                  <w:rFonts w:ascii="Times New Roman" w:eastAsia="Calibri" w:hAnsi="Times New Roman" w:cs="Times New Roman"/>
                  <w:sz w:val="24"/>
                  <w:szCs w:val="24"/>
                  <w:u w:val="single"/>
                  <w:lang w:val="en-GB"/>
                </w:rPr>
                <w:t>www.esinvesticijos.lt</w:t>
              </w:r>
            </w:hyperlink>
            <w:r w:rsidRPr="006663E2">
              <w:rPr>
                <w:rFonts w:ascii="Times New Roman" w:eastAsia="Calibri" w:hAnsi="Times New Roman" w:cs="Times New Roman"/>
                <w:sz w:val="24"/>
                <w:szCs w:val="24"/>
                <w:lang w:val="en-GB"/>
              </w:rPr>
              <w:t xml:space="preserve"> (document “Analysis of Simplified Compensation of Expenses” under the section “Documents”, sub-section “Analyses”). </w:t>
            </w:r>
          </w:p>
          <w:p w14:paraId="5EBE188E" w14:textId="49070226" w:rsidR="00BF32C7" w:rsidRPr="006663E2" w:rsidRDefault="00EE0AC3"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The unit costs applied during the implementation of the project shall not be changed, except when changes the VAT rate applicable to fuel and (or) </w:t>
            </w:r>
            <w:r w:rsidRPr="006663E2">
              <w:rPr>
                <w:rFonts w:ascii="Times New Roman" w:eastAsia="Times New Roman" w:hAnsi="Times New Roman" w:cs="Times New Roman"/>
                <w:sz w:val="24"/>
                <w:szCs w:val="24"/>
                <w:lang w:val="en-GB" w:eastAsia="lt-LT"/>
              </w:rPr>
              <w:lastRenderedPageBreak/>
              <w:t>public transport costs; and (or) when following the methodology used for the determination of unit costs for projects of the European Union Structural Funds, the managing or audit authority of the European Union Structural Funds determines that unit cost rate or the conditions of its application has not been properly determined. In cases when the unit cost rate should have been lower or otherwise applied, the adjusted rate or conditions of its application shall apply for the payment of simplified project costs incurred from the date of entry into force of the revision of the rate or conditions of its application).</w:t>
            </w:r>
          </w:p>
        </w:tc>
      </w:tr>
      <w:tr w:rsidR="00B60AC6" w:rsidRPr="006663E2" w14:paraId="55A4001C"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1CA85B" w14:textId="77777777" w:rsidR="00063A27" w:rsidRPr="006663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lastRenderedPageBreak/>
              <w:t xml:space="preserve">6. </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736F9E" w14:textId="5A64CC47" w:rsidR="00063A27" w:rsidRPr="006663E2" w:rsidRDefault="000159B8"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Salary </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3E9AA4" w14:textId="452BEAB6" w:rsidR="00C92BF7" w:rsidRPr="006663E2" w:rsidRDefault="00C92BF7" w:rsidP="00C540E2">
            <w:p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Salary payable for the time of employees hired or assigned to administer the project or engage in the </w:t>
            </w:r>
            <w:r w:rsidR="00EE2273" w:rsidRPr="006663E2">
              <w:rPr>
                <w:rFonts w:ascii="Times New Roman" w:eastAsia="Calibri" w:hAnsi="Times New Roman" w:cs="Times New Roman"/>
                <w:sz w:val="24"/>
                <w:szCs w:val="24"/>
                <w:lang w:val="en-GB"/>
              </w:rPr>
              <w:t xml:space="preserve">publicizing </w:t>
            </w:r>
            <w:r w:rsidRPr="006663E2">
              <w:rPr>
                <w:rFonts w:ascii="Times New Roman" w:eastAsia="Calibri" w:hAnsi="Times New Roman" w:cs="Times New Roman"/>
                <w:sz w:val="24"/>
                <w:szCs w:val="24"/>
                <w:lang w:val="en-GB"/>
              </w:rPr>
              <w:t xml:space="preserve"> the project, which they spent actually working on the project: salary, social insurance contributions and salary-related expenses established by legal acts, if they are in line with the usual </w:t>
            </w:r>
            <w:r w:rsidR="00EE2273"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roject </w:t>
            </w:r>
            <w:r w:rsidR="00EE2273"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romoter’s and </w:t>
            </w:r>
            <w:r w:rsidR="00EE2273"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artner’s salary policy. Solely the share of costs, which is directly related to the project being carried out and calculated and paid for the time spent working on the project shall be considered eligible costs.</w:t>
            </w:r>
          </w:p>
          <w:p w14:paraId="2ABF4BF0" w14:textId="75E2E2B4" w:rsidR="00C92BF7" w:rsidRPr="006663E2" w:rsidRDefault="00C92BF7"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Respective salary expenses of employees of public authorities shall be eligible to the extent they are related to activities, which the respective public authority would not carry out</w:t>
            </w:r>
            <w:r w:rsidR="00790347" w:rsidRPr="006663E2">
              <w:rPr>
                <w:rFonts w:ascii="Times New Roman" w:eastAsia="Calibri" w:hAnsi="Times New Roman" w:cs="Times New Roman"/>
                <w:sz w:val="24"/>
                <w:szCs w:val="24"/>
                <w:lang w:val="en-GB"/>
              </w:rPr>
              <w:t>,</w:t>
            </w:r>
            <w:r w:rsidRPr="006663E2">
              <w:rPr>
                <w:rFonts w:ascii="Times New Roman" w:eastAsia="Calibri" w:hAnsi="Times New Roman" w:cs="Times New Roman"/>
                <w:sz w:val="24"/>
                <w:szCs w:val="24"/>
                <w:lang w:val="en-GB"/>
              </w:rPr>
              <w:t xml:space="preserve"> if it wasn’t for the project.</w:t>
            </w:r>
          </w:p>
          <w:p w14:paraId="2ACD5FE2" w14:textId="71297226" w:rsidR="00F92261" w:rsidRPr="006663E2" w:rsidRDefault="00C92BF7" w:rsidP="00C540E2">
            <w:p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Salary expenses shall not exceed the market rates payable to employees of a respective specialization and qualification, except in duly justified cases. </w:t>
            </w:r>
            <w:r w:rsidR="00CC424B" w:rsidRPr="006663E2">
              <w:rPr>
                <w:rFonts w:ascii="Times New Roman" w:eastAsia="Calibri" w:hAnsi="Times New Roman" w:cs="Times New Roman"/>
                <w:sz w:val="24"/>
                <w:szCs w:val="24"/>
                <w:lang w:val="en-GB"/>
              </w:rPr>
              <w:t xml:space="preserve">Salary of employees of </w:t>
            </w:r>
            <w:r w:rsidRPr="006663E2">
              <w:rPr>
                <w:rFonts w:ascii="Times New Roman" w:eastAsia="Calibri" w:hAnsi="Times New Roman" w:cs="Times New Roman"/>
                <w:sz w:val="24"/>
                <w:szCs w:val="24"/>
                <w:lang w:val="en-GB"/>
              </w:rPr>
              <w:t xml:space="preserve">budgetary </w:t>
            </w:r>
            <w:r w:rsidR="00CC424B" w:rsidRPr="006663E2">
              <w:rPr>
                <w:rFonts w:ascii="Times New Roman" w:eastAsia="Calibri" w:hAnsi="Times New Roman" w:cs="Times New Roman"/>
                <w:sz w:val="24"/>
                <w:szCs w:val="24"/>
                <w:lang w:val="en-GB"/>
              </w:rPr>
              <w:t>institutions</w:t>
            </w:r>
            <w:r w:rsidRPr="006663E2">
              <w:rPr>
                <w:rFonts w:ascii="Times New Roman" w:eastAsia="Calibri" w:hAnsi="Times New Roman" w:cs="Times New Roman"/>
                <w:sz w:val="24"/>
                <w:szCs w:val="24"/>
                <w:lang w:val="en-GB"/>
              </w:rPr>
              <w:t xml:space="preserve">, teachers and educational staff shall be calculated in accordance with national legislation governing the calculation of </w:t>
            </w:r>
            <w:r w:rsidR="00CC424B" w:rsidRPr="006663E2">
              <w:rPr>
                <w:rFonts w:ascii="Times New Roman" w:eastAsia="Calibri" w:hAnsi="Times New Roman" w:cs="Times New Roman"/>
                <w:sz w:val="24"/>
                <w:szCs w:val="24"/>
                <w:lang w:val="en-GB"/>
              </w:rPr>
              <w:t>salary of such employees</w:t>
            </w:r>
            <w:r w:rsidRPr="006663E2">
              <w:rPr>
                <w:rFonts w:ascii="Times New Roman" w:eastAsia="Calibri" w:hAnsi="Times New Roman" w:cs="Times New Roman"/>
                <w:sz w:val="24"/>
                <w:szCs w:val="24"/>
                <w:lang w:val="en-GB"/>
              </w:rPr>
              <w:t xml:space="preserve">. </w:t>
            </w:r>
            <w:r w:rsidR="00736326" w:rsidRPr="006663E2">
              <w:rPr>
                <w:rFonts w:ascii="Times New Roman" w:eastAsia="Calibri" w:hAnsi="Times New Roman" w:cs="Times New Roman"/>
                <w:sz w:val="24"/>
                <w:szCs w:val="24"/>
                <w:lang w:val="en-GB"/>
              </w:rPr>
              <w:t xml:space="preserve">The planning of salaries </w:t>
            </w:r>
            <w:r w:rsidRPr="006663E2">
              <w:rPr>
                <w:rFonts w:ascii="Times New Roman" w:eastAsia="Calibri" w:hAnsi="Times New Roman" w:cs="Times New Roman"/>
                <w:sz w:val="24"/>
                <w:szCs w:val="24"/>
                <w:lang w:val="en-GB"/>
              </w:rPr>
              <w:t>may be based on data published by Statistics</w:t>
            </w:r>
            <w:r w:rsidR="00790347" w:rsidRPr="006663E2">
              <w:rPr>
                <w:rFonts w:ascii="Times New Roman" w:eastAsia="Calibri" w:hAnsi="Times New Roman" w:cs="Times New Roman"/>
                <w:sz w:val="24"/>
                <w:szCs w:val="24"/>
                <w:lang w:val="en-GB"/>
              </w:rPr>
              <w:t xml:space="preserve"> Lithuania </w:t>
            </w:r>
            <w:r w:rsidR="00736326" w:rsidRPr="006663E2">
              <w:rPr>
                <w:rFonts w:ascii="Times New Roman" w:eastAsia="Calibri" w:hAnsi="Times New Roman" w:cs="Times New Roman"/>
                <w:sz w:val="24"/>
                <w:szCs w:val="24"/>
                <w:lang w:val="en-GB"/>
              </w:rPr>
              <w:t>of the Republic of Lithuania</w:t>
            </w:r>
            <w:r w:rsidRPr="006663E2">
              <w:rPr>
                <w:rFonts w:ascii="Times New Roman" w:eastAsia="Calibri" w:hAnsi="Times New Roman" w:cs="Times New Roman"/>
                <w:sz w:val="24"/>
                <w:szCs w:val="24"/>
                <w:lang w:val="en-GB"/>
              </w:rPr>
              <w:t xml:space="preserve">, data on similar projects, historical </w:t>
            </w:r>
            <w:r w:rsidR="00790347" w:rsidRPr="006663E2">
              <w:rPr>
                <w:rFonts w:ascii="Times New Roman" w:eastAsia="Calibri" w:hAnsi="Times New Roman" w:cs="Times New Roman"/>
                <w:sz w:val="24"/>
                <w:szCs w:val="24"/>
                <w:lang w:val="en-GB"/>
              </w:rPr>
              <w:t>salary</w:t>
            </w:r>
            <w:r w:rsidRPr="006663E2">
              <w:rPr>
                <w:rFonts w:ascii="Times New Roman" w:eastAsia="Calibri" w:hAnsi="Times New Roman" w:cs="Times New Roman"/>
                <w:sz w:val="24"/>
                <w:szCs w:val="24"/>
                <w:lang w:val="en-GB"/>
              </w:rPr>
              <w:t xml:space="preserve"> data provided by the </w:t>
            </w:r>
            <w:r w:rsidR="00790347"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 xml:space="preserve">pplicant and / or </w:t>
            </w:r>
            <w:r w:rsidR="00790347" w:rsidRPr="006663E2">
              <w:rPr>
                <w:rFonts w:ascii="Times New Roman" w:eastAsia="Calibri" w:hAnsi="Times New Roman" w:cs="Times New Roman"/>
                <w:sz w:val="24"/>
                <w:szCs w:val="24"/>
                <w:lang w:val="en-GB"/>
              </w:rPr>
              <w:t>a</w:t>
            </w:r>
            <w:r w:rsidR="00736326" w:rsidRPr="006663E2">
              <w:rPr>
                <w:rFonts w:ascii="Times New Roman" w:eastAsia="Calibri" w:hAnsi="Times New Roman" w:cs="Times New Roman"/>
                <w:sz w:val="24"/>
                <w:szCs w:val="24"/>
                <w:lang w:val="en-GB"/>
              </w:rPr>
              <w:t xml:space="preserve"> </w:t>
            </w:r>
            <w:r w:rsidR="00790347"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artner, or data on </w:t>
            </w:r>
            <w:r w:rsidR="00736326" w:rsidRPr="006663E2">
              <w:rPr>
                <w:rFonts w:ascii="Times New Roman" w:eastAsia="Calibri" w:hAnsi="Times New Roman" w:cs="Times New Roman"/>
                <w:sz w:val="24"/>
                <w:szCs w:val="24"/>
                <w:lang w:val="en-GB"/>
              </w:rPr>
              <w:t>salary normally paid in the c</w:t>
            </w:r>
            <w:r w:rsidRPr="006663E2">
              <w:rPr>
                <w:rFonts w:ascii="Times New Roman" w:eastAsia="Calibri" w:hAnsi="Times New Roman" w:cs="Times New Roman"/>
                <w:sz w:val="24"/>
                <w:szCs w:val="24"/>
                <w:lang w:val="en-GB"/>
              </w:rPr>
              <w:t>ompany (</w:t>
            </w:r>
            <w:r w:rsidR="00736326" w:rsidRPr="006663E2">
              <w:rPr>
                <w:rFonts w:ascii="Times New Roman" w:eastAsia="Calibri" w:hAnsi="Times New Roman" w:cs="Times New Roman"/>
                <w:sz w:val="24"/>
                <w:szCs w:val="24"/>
                <w:lang w:val="en-GB"/>
              </w:rPr>
              <w:t>institution</w:t>
            </w:r>
            <w:r w:rsidRPr="006663E2">
              <w:rPr>
                <w:rFonts w:ascii="Times New Roman" w:eastAsia="Calibri" w:hAnsi="Times New Roman" w:cs="Times New Roman"/>
                <w:sz w:val="24"/>
                <w:szCs w:val="24"/>
                <w:lang w:val="en-GB"/>
              </w:rPr>
              <w:t>, organization) for the same functions and / or duties (</w:t>
            </w:r>
            <w:r w:rsidR="00736326" w:rsidRPr="006663E2">
              <w:rPr>
                <w:rFonts w:ascii="Times New Roman" w:eastAsia="Calibri" w:hAnsi="Times New Roman" w:cs="Times New Roman"/>
                <w:sz w:val="24"/>
                <w:szCs w:val="24"/>
                <w:lang w:val="en-GB"/>
              </w:rPr>
              <w:t xml:space="preserve">for example, statements </w:t>
            </w:r>
            <w:r w:rsidRPr="006663E2">
              <w:rPr>
                <w:rFonts w:ascii="Times New Roman" w:eastAsia="Calibri" w:hAnsi="Times New Roman" w:cs="Times New Roman"/>
                <w:sz w:val="24"/>
                <w:szCs w:val="24"/>
                <w:lang w:val="en-GB"/>
              </w:rPr>
              <w:t>on the average monthly salary of 6 months</w:t>
            </w:r>
            <w:r w:rsidR="00736326" w:rsidRPr="006663E2">
              <w:rPr>
                <w:rFonts w:ascii="Times New Roman" w:eastAsia="Calibri" w:hAnsi="Times New Roman" w:cs="Times New Roman"/>
                <w:sz w:val="24"/>
                <w:szCs w:val="24"/>
                <w:lang w:val="en-GB"/>
              </w:rPr>
              <w:t xml:space="preserve"> of the specific employee</w:t>
            </w:r>
            <w:r w:rsidRPr="006663E2">
              <w:rPr>
                <w:rFonts w:ascii="Times New Roman" w:eastAsia="Calibri" w:hAnsi="Times New Roman" w:cs="Times New Roman"/>
                <w:sz w:val="24"/>
                <w:szCs w:val="24"/>
                <w:lang w:val="en-GB"/>
              </w:rPr>
              <w:t xml:space="preserve">, </w:t>
            </w:r>
            <w:r w:rsidR="00736326" w:rsidRPr="006663E2">
              <w:rPr>
                <w:rFonts w:ascii="Times New Roman" w:eastAsia="Calibri" w:hAnsi="Times New Roman" w:cs="Times New Roman"/>
                <w:sz w:val="24"/>
                <w:szCs w:val="24"/>
                <w:lang w:val="en-GB"/>
              </w:rPr>
              <w:t>statements</w:t>
            </w:r>
            <w:r w:rsidRPr="006663E2">
              <w:rPr>
                <w:rFonts w:ascii="Times New Roman" w:eastAsia="Calibri" w:hAnsi="Times New Roman" w:cs="Times New Roman"/>
                <w:sz w:val="24"/>
                <w:szCs w:val="24"/>
                <w:lang w:val="en-GB"/>
              </w:rPr>
              <w:t xml:space="preserve"> on the average salary of employees in the </w:t>
            </w:r>
            <w:r w:rsidR="00736326" w:rsidRPr="006663E2">
              <w:rPr>
                <w:rFonts w:ascii="Times New Roman" w:eastAsia="Calibri" w:hAnsi="Times New Roman" w:cs="Times New Roman"/>
                <w:sz w:val="24"/>
                <w:szCs w:val="24"/>
                <w:lang w:val="en-GB"/>
              </w:rPr>
              <w:t>respective</w:t>
            </w:r>
            <w:r w:rsidRPr="006663E2">
              <w:rPr>
                <w:rFonts w:ascii="Times New Roman" w:eastAsia="Calibri" w:hAnsi="Times New Roman" w:cs="Times New Roman"/>
                <w:sz w:val="24"/>
                <w:szCs w:val="24"/>
                <w:lang w:val="en-GB"/>
              </w:rPr>
              <w:t xml:space="preserve"> position (or </w:t>
            </w:r>
            <w:r w:rsidR="00736326" w:rsidRPr="006663E2">
              <w:rPr>
                <w:rFonts w:ascii="Times New Roman" w:eastAsia="Calibri" w:hAnsi="Times New Roman" w:cs="Times New Roman"/>
                <w:sz w:val="24"/>
                <w:szCs w:val="24"/>
                <w:lang w:val="en-GB"/>
              </w:rPr>
              <w:t xml:space="preserve">carrying out </w:t>
            </w:r>
            <w:r w:rsidRPr="006663E2">
              <w:rPr>
                <w:rFonts w:ascii="Times New Roman" w:eastAsia="Calibri" w:hAnsi="Times New Roman" w:cs="Times New Roman"/>
                <w:sz w:val="24"/>
                <w:szCs w:val="24"/>
                <w:lang w:val="en-GB"/>
              </w:rPr>
              <w:t xml:space="preserve">similar functions), information about the average salary in the company (institution, organization), </w:t>
            </w:r>
            <w:r w:rsidR="00736326" w:rsidRPr="006663E2">
              <w:rPr>
                <w:rFonts w:ascii="Times New Roman" w:eastAsia="Calibri" w:hAnsi="Times New Roman" w:cs="Times New Roman"/>
                <w:sz w:val="24"/>
                <w:szCs w:val="24"/>
                <w:lang w:val="en-GB"/>
              </w:rPr>
              <w:t xml:space="preserve">published by the </w:t>
            </w:r>
            <w:r w:rsidR="00790347" w:rsidRPr="006663E2">
              <w:rPr>
                <w:rFonts w:ascii="Times New Roman" w:eastAsia="Calibri" w:hAnsi="Times New Roman" w:cs="Times New Roman"/>
                <w:sz w:val="24"/>
                <w:szCs w:val="24"/>
                <w:lang w:val="en-GB"/>
              </w:rPr>
              <w:t>P</w:t>
            </w:r>
            <w:r w:rsidR="00736326" w:rsidRPr="006663E2">
              <w:rPr>
                <w:rFonts w:ascii="Times New Roman" w:eastAsia="Calibri" w:hAnsi="Times New Roman" w:cs="Times New Roman"/>
                <w:sz w:val="24"/>
                <w:szCs w:val="24"/>
                <w:lang w:val="en-GB"/>
              </w:rPr>
              <w:t xml:space="preserve">roject </w:t>
            </w:r>
            <w:r w:rsidR="00790347" w:rsidRPr="006663E2">
              <w:rPr>
                <w:rFonts w:ascii="Times New Roman" w:eastAsia="Calibri" w:hAnsi="Times New Roman" w:cs="Times New Roman"/>
                <w:sz w:val="24"/>
                <w:szCs w:val="24"/>
                <w:lang w:val="en-GB"/>
              </w:rPr>
              <w:t>P</w:t>
            </w:r>
            <w:r w:rsidR="00736326" w:rsidRPr="006663E2">
              <w:rPr>
                <w:rFonts w:ascii="Times New Roman" w:eastAsia="Calibri" w:hAnsi="Times New Roman" w:cs="Times New Roman"/>
                <w:sz w:val="24"/>
                <w:szCs w:val="24"/>
                <w:lang w:val="en-GB"/>
              </w:rPr>
              <w:t xml:space="preserve">romoter, </w:t>
            </w:r>
            <w:r w:rsidRPr="006663E2">
              <w:rPr>
                <w:rFonts w:ascii="Times New Roman" w:eastAsia="Calibri" w:hAnsi="Times New Roman" w:cs="Times New Roman"/>
                <w:sz w:val="24"/>
                <w:szCs w:val="24"/>
                <w:lang w:val="en-GB"/>
              </w:rPr>
              <w:t>etc</w:t>
            </w:r>
            <w:r w:rsidR="00F92261" w:rsidRPr="006663E2">
              <w:rPr>
                <w:rFonts w:ascii="Times New Roman" w:eastAsia="Calibri" w:hAnsi="Times New Roman" w:cs="Times New Roman"/>
                <w:sz w:val="24"/>
                <w:szCs w:val="24"/>
                <w:lang w:val="en-GB"/>
              </w:rPr>
              <w:t xml:space="preserve">.). </w:t>
            </w:r>
          </w:p>
          <w:p w14:paraId="08060AF5" w14:textId="2CB4AC91" w:rsidR="00FF7C1C" w:rsidRPr="006663E2" w:rsidRDefault="00FF7C1C"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The application shall contain information on the number of hours (days, months) planned for each position (function) or their group for the implementation of the project and the planned average hourly (daily, monthly)</w:t>
            </w:r>
            <w:r w:rsidR="00790347" w:rsidRPr="006663E2">
              <w:rPr>
                <w:rFonts w:ascii="Times New Roman" w:eastAsia="Calibri" w:hAnsi="Times New Roman" w:cs="Times New Roman"/>
                <w:sz w:val="24"/>
                <w:szCs w:val="24"/>
                <w:lang w:val="en-GB"/>
              </w:rPr>
              <w:t xml:space="preserve"> rate</w:t>
            </w:r>
            <w:r w:rsidRPr="006663E2">
              <w:rPr>
                <w:rFonts w:ascii="Times New Roman" w:eastAsia="Calibri" w:hAnsi="Times New Roman" w:cs="Times New Roman"/>
                <w:sz w:val="24"/>
                <w:szCs w:val="24"/>
                <w:lang w:val="en-GB"/>
              </w:rPr>
              <w:t>, also explaining the basis and/or indicating the methodology used to calculate the planned average hourly (daily, monthly) rate and enclosing the supporting documents (if necessary).</w:t>
            </w:r>
          </w:p>
          <w:p w14:paraId="428078B8" w14:textId="25578BD9" w:rsidR="007A12F5" w:rsidRPr="006663E2" w:rsidRDefault="00C12E9A"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6663E2">
              <w:rPr>
                <w:rFonts w:ascii="Times New Roman" w:eastAsia="Calibri" w:hAnsi="Times New Roman" w:cs="Times New Roman"/>
                <w:sz w:val="24"/>
                <w:szCs w:val="24"/>
                <w:lang w:val="en-GB"/>
              </w:rPr>
              <w:t xml:space="preserve">Expenses for annual leave and additional days-off of employees </w:t>
            </w:r>
            <w:r w:rsidR="00FF7C1C" w:rsidRPr="006663E2">
              <w:rPr>
                <w:rFonts w:ascii="Times New Roman" w:eastAsia="Calibri" w:hAnsi="Times New Roman" w:cs="Times New Roman"/>
                <w:sz w:val="24"/>
                <w:szCs w:val="24"/>
                <w:lang w:val="en-GB"/>
              </w:rPr>
              <w:t xml:space="preserve">implementing and administering the project </w:t>
            </w:r>
            <w:r w:rsidRPr="006663E2">
              <w:rPr>
                <w:rFonts w:ascii="Times New Roman" w:eastAsia="Calibri" w:hAnsi="Times New Roman" w:cs="Times New Roman"/>
                <w:sz w:val="24"/>
                <w:szCs w:val="24"/>
                <w:lang w:val="en-GB"/>
              </w:rPr>
              <w:t>shall</w:t>
            </w:r>
            <w:r w:rsidR="00FF7C1C" w:rsidRPr="006663E2">
              <w:rPr>
                <w:rFonts w:ascii="Times New Roman" w:eastAsia="Calibri" w:hAnsi="Times New Roman" w:cs="Times New Roman"/>
                <w:sz w:val="24"/>
                <w:szCs w:val="24"/>
                <w:lang w:val="en-GB"/>
              </w:rPr>
              <w:t xml:space="preserve"> be declared and paid </w:t>
            </w:r>
            <w:r w:rsidR="007F7F94" w:rsidRPr="006663E2">
              <w:rPr>
                <w:rFonts w:ascii="Times New Roman" w:eastAsia="Calibri" w:hAnsi="Times New Roman" w:cs="Times New Roman"/>
                <w:sz w:val="24"/>
                <w:szCs w:val="24"/>
                <w:lang w:val="en-GB"/>
              </w:rPr>
              <w:t xml:space="preserve">on a </w:t>
            </w:r>
            <w:r w:rsidRPr="006663E2">
              <w:rPr>
                <w:rFonts w:ascii="Times New Roman" w:eastAsia="Calibri" w:hAnsi="Times New Roman" w:cs="Times New Roman"/>
                <w:sz w:val="24"/>
                <w:szCs w:val="24"/>
                <w:lang w:val="en-GB"/>
              </w:rPr>
              <w:t xml:space="preserve">simplified </w:t>
            </w:r>
            <w:r w:rsidR="007F7F94" w:rsidRPr="006663E2">
              <w:rPr>
                <w:rFonts w:ascii="Times New Roman" w:eastAsia="Calibri" w:hAnsi="Times New Roman" w:cs="Times New Roman"/>
                <w:sz w:val="24"/>
                <w:szCs w:val="24"/>
                <w:lang w:val="en-GB"/>
              </w:rPr>
              <w:t xml:space="preserve">bases </w:t>
            </w:r>
            <w:r w:rsidR="00732E97" w:rsidRPr="006663E2">
              <w:rPr>
                <w:rFonts w:ascii="Times New Roman" w:eastAsia="Calibri" w:hAnsi="Times New Roman" w:cs="Times New Roman"/>
                <w:sz w:val="24"/>
                <w:szCs w:val="24"/>
                <w:lang w:val="en-GB"/>
              </w:rPr>
              <w:t xml:space="preserve">by applying </w:t>
            </w:r>
            <w:r w:rsidRPr="006663E2">
              <w:rPr>
                <w:rFonts w:ascii="Times New Roman" w:eastAsia="Calibri" w:hAnsi="Times New Roman" w:cs="Times New Roman"/>
                <w:sz w:val="24"/>
                <w:szCs w:val="24"/>
                <w:lang w:val="en-GB"/>
              </w:rPr>
              <w:t xml:space="preserve">the coefficients of payments for annual leave and additional days-off set in the Report </w:t>
            </w:r>
            <w:r w:rsidR="00732E97" w:rsidRPr="006663E2">
              <w:rPr>
                <w:rFonts w:ascii="Times New Roman" w:eastAsia="Calibri" w:hAnsi="Times New Roman" w:cs="Times New Roman"/>
                <w:sz w:val="24"/>
                <w:szCs w:val="24"/>
                <w:lang w:val="en-GB"/>
              </w:rPr>
              <w:t xml:space="preserve">No. </w:t>
            </w:r>
            <w:r w:rsidR="00732E97" w:rsidRPr="006663E2">
              <w:rPr>
                <w:rFonts w:ascii="Times New Roman" w:eastAsia="Times New Roman" w:hAnsi="Times New Roman" w:cs="Times New Roman"/>
                <w:sz w:val="24"/>
                <w:szCs w:val="24"/>
                <w:lang w:val="en-GB" w:eastAsia="lt-LT"/>
              </w:rPr>
              <w:t xml:space="preserve">FN-005 </w:t>
            </w:r>
            <w:r w:rsidRPr="006663E2">
              <w:rPr>
                <w:rFonts w:ascii="Times New Roman" w:eastAsia="Calibri" w:hAnsi="Times New Roman" w:cs="Times New Roman"/>
                <w:sz w:val="24"/>
                <w:szCs w:val="24"/>
                <w:lang w:val="en-GB"/>
              </w:rPr>
              <w:t xml:space="preserve">on the Analysis on Setting </w:t>
            </w:r>
            <w:r w:rsidR="00732E97" w:rsidRPr="006663E2">
              <w:rPr>
                <w:rFonts w:ascii="Times New Roman" w:eastAsia="Calibri" w:hAnsi="Times New Roman" w:cs="Times New Roman"/>
                <w:sz w:val="24"/>
                <w:szCs w:val="24"/>
                <w:lang w:val="en-GB"/>
              </w:rPr>
              <w:t xml:space="preserve">Flat </w:t>
            </w:r>
            <w:r w:rsidRPr="006663E2">
              <w:rPr>
                <w:rFonts w:ascii="Times New Roman" w:eastAsia="Calibri" w:hAnsi="Times New Roman" w:cs="Times New Roman"/>
                <w:sz w:val="24"/>
                <w:szCs w:val="24"/>
                <w:lang w:val="en-GB"/>
              </w:rPr>
              <w:t>Rates of Payment of Annual Leave and Additional Days Off</w:t>
            </w:r>
            <w:r w:rsidR="008E6F80" w:rsidRPr="006663E2">
              <w:rPr>
                <w:rFonts w:ascii="Times New Roman" w:eastAsia="Calibri" w:hAnsi="Times New Roman" w:cs="Times New Roman"/>
                <w:sz w:val="24"/>
                <w:szCs w:val="24"/>
                <w:lang w:val="en-GB"/>
              </w:rPr>
              <w:t xml:space="preserve"> </w:t>
            </w:r>
            <w:r w:rsidR="000647ED" w:rsidRPr="006663E2">
              <w:rPr>
                <w:rFonts w:ascii="Times New Roman" w:eastAsia="Times New Roman" w:hAnsi="Times New Roman" w:cs="Times New Roman"/>
                <w:sz w:val="24"/>
                <w:szCs w:val="24"/>
                <w:lang w:val="en-GB" w:eastAsia="lt-LT"/>
              </w:rPr>
              <w:t>(</w:t>
            </w:r>
            <w:r w:rsidR="00732E97" w:rsidRPr="006663E2">
              <w:rPr>
                <w:rFonts w:ascii="Times New Roman" w:eastAsia="Times New Roman" w:hAnsi="Times New Roman" w:cs="Times New Roman"/>
                <w:sz w:val="24"/>
                <w:szCs w:val="24"/>
                <w:lang w:val="en-GB" w:eastAsia="lt-LT"/>
              </w:rPr>
              <w:t xml:space="preserve">edition of 20 July </w:t>
            </w:r>
            <w:r w:rsidR="000647ED" w:rsidRPr="006663E2">
              <w:rPr>
                <w:rFonts w:ascii="Times New Roman" w:eastAsia="Times New Roman" w:hAnsi="Times New Roman" w:cs="Times New Roman"/>
                <w:sz w:val="24"/>
                <w:szCs w:val="24"/>
                <w:lang w:val="en-GB" w:eastAsia="lt-LT"/>
              </w:rPr>
              <w:t xml:space="preserve">2017) </w:t>
            </w:r>
            <w:r w:rsidR="00FF7C1C" w:rsidRPr="006663E2">
              <w:rPr>
                <w:rFonts w:ascii="Times New Roman" w:eastAsia="Calibri" w:hAnsi="Times New Roman" w:cs="Times New Roman"/>
                <w:sz w:val="24"/>
                <w:szCs w:val="24"/>
                <w:lang w:val="en-GB"/>
              </w:rPr>
              <w:t>of the Ministry of Finance of the Republic of Lithuania</w:t>
            </w:r>
            <w:r w:rsidR="00732E97" w:rsidRPr="006663E2">
              <w:rPr>
                <w:rFonts w:ascii="Times New Roman" w:eastAsia="Calibri" w:hAnsi="Times New Roman" w:cs="Times New Roman"/>
                <w:sz w:val="24"/>
                <w:szCs w:val="24"/>
                <w:lang w:val="en-GB"/>
              </w:rPr>
              <w:t>,</w:t>
            </w:r>
            <w:r w:rsidR="008E6F80" w:rsidRPr="006663E2">
              <w:rPr>
                <w:rFonts w:ascii="Times New Roman" w:eastAsia="Calibri" w:hAnsi="Times New Roman" w:cs="Times New Roman"/>
                <w:sz w:val="24"/>
                <w:szCs w:val="24"/>
                <w:lang w:val="en-GB"/>
              </w:rPr>
              <w:t xml:space="preserve"> </w:t>
            </w:r>
            <w:r w:rsidR="00FF7C1C" w:rsidRPr="006663E2">
              <w:rPr>
                <w:rFonts w:ascii="Times New Roman" w:eastAsia="Calibri" w:hAnsi="Times New Roman" w:cs="Times New Roman"/>
                <w:sz w:val="24"/>
                <w:szCs w:val="24"/>
                <w:lang w:val="en-GB"/>
              </w:rPr>
              <w:t xml:space="preserve">published on the website </w:t>
            </w:r>
            <w:hyperlink r:id="rId14" w:history="1">
              <w:r w:rsidR="008E6F80" w:rsidRPr="006663E2">
                <w:rPr>
                  <w:rStyle w:val="Hyperlink"/>
                  <w:rFonts w:ascii="Times New Roman" w:eastAsia="Calibri" w:hAnsi="Times New Roman" w:cs="Times New Roman"/>
                  <w:sz w:val="24"/>
                  <w:szCs w:val="24"/>
                  <w:lang w:val="en-GB"/>
                </w:rPr>
                <w:t>www.esinvesticijos.lt</w:t>
              </w:r>
            </w:hyperlink>
            <w:r w:rsidR="008E6F80" w:rsidRPr="006663E2">
              <w:rPr>
                <w:rFonts w:ascii="Times New Roman" w:eastAsia="Calibri" w:hAnsi="Times New Roman" w:cs="Times New Roman"/>
                <w:sz w:val="24"/>
                <w:szCs w:val="24"/>
                <w:lang w:val="en-GB"/>
              </w:rPr>
              <w:t xml:space="preserve"> </w:t>
            </w:r>
            <w:r w:rsidR="00FF7C1C" w:rsidRPr="006663E2">
              <w:rPr>
                <w:rFonts w:ascii="Times New Roman" w:eastAsia="Calibri" w:hAnsi="Times New Roman" w:cs="Times New Roman"/>
                <w:sz w:val="24"/>
                <w:szCs w:val="24"/>
                <w:lang w:val="en-GB"/>
              </w:rPr>
              <w:t xml:space="preserve"> (</w:t>
            </w:r>
            <w:r w:rsidR="008E6F80" w:rsidRPr="006663E2">
              <w:rPr>
                <w:rFonts w:ascii="Times New Roman" w:eastAsia="Calibri" w:hAnsi="Times New Roman" w:cs="Times New Roman"/>
                <w:sz w:val="24"/>
                <w:szCs w:val="24"/>
                <w:lang w:val="en-GB"/>
              </w:rPr>
              <w:t xml:space="preserve">document </w:t>
            </w:r>
            <w:r w:rsidR="008E6F80" w:rsidRPr="006663E2">
              <w:rPr>
                <w:rFonts w:ascii="Times New Roman" w:eastAsia="Calibri" w:hAnsi="Times New Roman" w:cs="Times New Roman"/>
                <w:sz w:val="24"/>
                <w:szCs w:val="24"/>
                <w:lang w:val="en-GB"/>
              </w:rPr>
              <w:lastRenderedPageBreak/>
              <w:t>“Analysis of Simplified Compensation of Expenses” under the section “Documents”, sub</w:t>
            </w:r>
            <w:r w:rsidR="00790347" w:rsidRPr="006663E2">
              <w:rPr>
                <w:rFonts w:ascii="Times New Roman" w:eastAsia="Calibri" w:hAnsi="Times New Roman" w:cs="Times New Roman"/>
                <w:sz w:val="24"/>
                <w:szCs w:val="24"/>
                <w:lang w:val="en-GB"/>
              </w:rPr>
              <w:t>-</w:t>
            </w:r>
            <w:r w:rsidR="008E6F80" w:rsidRPr="006663E2">
              <w:rPr>
                <w:rFonts w:ascii="Times New Roman" w:eastAsia="Calibri" w:hAnsi="Times New Roman" w:cs="Times New Roman"/>
                <w:sz w:val="24"/>
                <w:szCs w:val="24"/>
                <w:lang w:val="en-GB"/>
              </w:rPr>
              <w:t>section “Analyses”</w:t>
            </w:r>
            <w:r w:rsidR="00FF7C1C" w:rsidRPr="006663E2">
              <w:rPr>
                <w:rFonts w:ascii="Times New Roman" w:eastAsia="Calibri" w:hAnsi="Times New Roman" w:cs="Times New Roman"/>
                <w:sz w:val="24"/>
                <w:szCs w:val="24"/>
                <w:lang w:val="en-GB"/>
              </w:rPr>
              <w:t>)</w:t>
            </w:r>
            <w:r w:rsidR="00063A27" w:rsidRPr="006663E2">
              <w:rPr>
                <w:rFonts w:ascii="Times New Roman" w:eastAsia="Times New Roman" w:hAnsi="Times New Roman" w:cs="Times New Roman"/>
                <w:sz w:val="24"/>
                <w:szCs w:val="24"/>
                <w:lang w:val="en-GB" w:eastAsia="lt-LT"/>
              </w:rPr>
              <w:t>.</w:t>
            </w:r>
          </w:p>
        </w:tc>
      </w:tr>
      <w:tr w:rsidR="000647ED" w:rsidRPr="006663E2" w14:paraId="1F2F6C71" w14:textId="77777777" w:rsidTr="00002B9F">
        <w:tc>
          <w:tcPr>
            <w:tcW w:w="9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08C9B8" w14:textId="78BFE081" w:rsidR="000647ED" w:rsidRPr="006663E2" w:rsidRDefault="000647ED" w:rsidP="00C540E2">
            <w:pPr>
              <w:shd w:val="clear" w:color="auto" w:fill="FFFFFF"/>
              <w:spacing w:after="120" w:line="240" w:lineRule="auto"/>
              <w:ind w:left="567" w:right="-57"/>
              <w:jc w:val="center"/>
              <w:rPr>
                <w:rFonts w:ascii="Times New Roman" w:eastAsia="Times New Roman" w:hAnsi="Times New Roman" w:cs="Times New Roman"/>
                <w:b/>
                <w:bCs/>
                <w:sz w:val="24"/>
                <w:szCs w:val="24"/>
                <w:lang w:val="en-GB" w:eastAsia="lt-LT"/>
              </w:rPr>
            </w:pPr>
            <w:r w:rsidRPr="006663E2">
              <w:rPr>
                <w:rFonts w:ascii="Times New Roman" w:eastAsia="Times New Roman" w:hAnsi="Times New Roman" w:cs="Times New Roman"/>
                <w:b/>
                <w:bCs/>
                <w:sz w:val="24"/>
                <w:szCs w:val="24"/>
                <w:lang w:val="en-GB" w:eastAsia="lt-LT"/>
              </w:rPr>
              <w:lastRenderedPageBreak/>
              <w:t>Indirect costs</w:t>
            </w:r>
          </w:p>
        </w:tc>
      </w:tr>
      <w:tr w:rsidR="00B60AC6" w:rsidRPr="006663E2" w14:paraId="3877FCF7" w14:textId="77777777" w:rsidTr="00C540E2">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A52723" w14:textId="77777777" w:rsidR="00063A27" w:rsidRPr="006663E2" w:rsidRDefault="00063A27" w:rsidP="00C540E2">
            <w:pPr>
              <w:shd w:val="clear" w:color="auto" w:fill="FFFFFF"/>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7.</w:t>
            </w:r>
          </w:p>
        </w:tc>
        <w:tc>
          <w:tcPr>
            <w:tcW w:w="1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DB31F2" w14:textId="0A7375A1" w:rsidR="00063A27" w:rsidRPr="006663E2" w:rsidRDefault="001B2B16" w:rsidP="00C540E2">
            <w:pPr>
              <w:shd w:val="clear" w:color="auto" w:fill="FFFFFF"/>
              <w:spacing w:after="120" w:line="240" w:lineRule="auto"/>
              <w:ind w:left="34"/>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Indirect costs</w:t>
            </w:r>
          </w:p>
        </w:tc>
        <w:tc>
          <w:tcPr>
            <w:tcW w:w="7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8CD423" w14:textId="2A9CCC5D" w:rsidR="001B2B16" w:rsidRPr="006663E2" w:rsidRDefault="001B2B16"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Eligible indirect project costs are costs that are not directly attributable to the implementation of project activities, but are necessary for the implementation of the project and can be related to direct project costs. Indirect costs may not include any direct eligible costs. The method for determining indirect costs shall be selected (and, where appropriate, justified) at the time of drafting an application.</w:t>
            </w:r>
          </w:p>
          <w:p w14:paraId="32B2FD16" w14:textId="2429142E" w:rsidR="001B2B16" w:rsidRPr="006663E2" w:rsidRDefault="001B2B16" w:rsidP="00C540E2">
            <w:pPr>
              <w:shd w:val="clear" w:color="auto" w:fill="FFFFFF"/>
              <w:spacing w:after="120" w:line="240" w:lineRule="auto"/>
              <w:ind w:left="33"/>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The methods for determining indirect project costs are provided for in clause 276 of the MAFR: either on the basis of actual indirect costs (subclauses 276.1 and 276.2 of the MAFR) or at a flat rate (subclauses 276.3.1, 276.3.2 and 276.3.3 of the MAFR).</w:t>
            </w:r>
          </w:p>
          <w:p w14:paraId="5FBADDAE" w14:textId="77777777" w:rsidR="00063A27" w:rsidRPr="006663E2" w:rsidRDefault="001B2B16"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6663E2">
              <w:rPr>
                <w:rFonts w:ascii="Times New Roman" w:eastAsia="Calibri" w:hAnsi="Times New Roman" w:cs="Times New Roman"/>
                <w:sz w:val="24"/>
                <w:szCs w:val="24"/>
                <w:lang w:val="en-GB"/>
              </w:rPr>
              <w:t xml:space="preserve">If </w:t>
            </w:r>
            <w:r w:rsidR="003C1D87" w:rsidRPr="006663E2">
              <w:rPr>
                <w:rFonts w:ascii="Times New Roman" w:eastAsia="Calibri" w:hAnsi="Times New Roman" w:cs="Times New Roman"/>
                <w:sz w:val="24"/>
                <w:szCs w:val="24"/>
                <w:lang w:val="en-GB"/>
              </w:rPr>
              <w:t xml:space="preserve">the method provided for in subclause </w:t>
            </w:r>
            <w:r w:rsidR="003C1D87" w:rsidRPr="006663E2">
              <w:rPr>
                <w:rFonts w:ascii="Times New Roman" w:eastAsia="Times New Roman" w:hAnsi="Times New Roman" w:cs="Times New Roman"/>
                <w:sz w:val="24"/>
                <w:szCs w:val="24"/>
                <w:lang w:val="en-GB" w:eastAsia="lt-LT"/>
              </w:rPr>
              <w:t xml:space="preserve">276.3.1. of the MAFR is selected </w:t>
            </w:r>
            <w:r w:rsidRPr="006663E2">
              <w:rPr>
                <w:rFonts w:ascii="Times New Roman" w:eastAsia="Calibri" w:hAnsi="Times New Roman" w:cs="Times New Roman"/>
                <w:sz w:val="24"/>
                <w:szCs w:val="24"/>
                <w:lang w:val="en-GB"/>
              </w:rPr>
              <w:t>to determine indirect costs of the project, indirect</w:t>
            </w:r>
            <w:r w:rsidR="003C1D87" w:rsidRPr="006663E2">
              <w:rPr>
                <w:rFonts w:ascii="Times New Roman" w:eastAsia="Calibri" w:hAnsi="Times New Roman" w:cs="Times New Roman"/>
                <w:sz w:val="24"/>
                <w:szCs w:val="24"/>
                <w:lang w:val="en-GB"/>
              </w:rPr>
              <w:t xml:space="preserve"> project</w:t>
            </w:r>
            <w:r w:rsidRPr="006663E2">
              <w:rPr>
                <w:rFonts w:ascii="Times New Roman" w:eastAsia="Calibri" w:hAnsi="Times New Roman" w:cs="Times New Roman"/>
                <w:sz w:val="24"/>
                <w:szCs w:val="24"/>
                <w:lang w:val="en-GB"/>
              </w:rPr>
              <w:t xml:space="preserve"> costs </w:t>
            </w:r>
            <w:r w:rsidR="003C1D87" w:rsidRPr="006663E2">
              <w:rPr>
                <w:rFonts w:ascii="Times New Roman" w:eastAsia="Calibri" w:hAnsi="Times New Roman" w:cs="Times New Roman"/>
                <w:sz w:val="24"/>
                <w:szCs w:val="24"/>
                <w:lang w:val="en-GB"/>
              </w:rPr>
              <w:t>shall</w:t>
            </w:r>
            <w:r w:rsidRPr="006663E2">
              <w:rPr>
                <w:rFonts w:ascii="Times New Roman" w:eastAsia="Calibri" w:hAnsi="Times New Roman" w:cs="Times New Roman"/>
                <w:sz w:val="24"/>
                <w:szCs w:val="24"/>
                <w:lang w:val="en-GB"/>
              </w:rPr>
              <w:t xml:space="preserve"> be justified in accordance with </w:t>
            </w:r>
            <w:r w:rsidR="006C07EE" w:rsidRPr="006663E2">
              <w:rPr>
                <w:rFonts w:ascii="Times New Roman" w:eastAsia="Calibri" w:hAnsi="Times New Roman" w:cs="Times New Roman"/>
                <w:sz w:val="24"/>
                <w:szCs w:val="24"/>
                <w:lang w:val="en-GB"/>
              </w:rPr>
              <w:t>provisions of the</w:t>
            </w:r>
            <w:r w:rsidRPr="006663E2">
              <w:rPr>
                <w:rFonts w:ascii="Times New Roman" w:eastAsia="Calibri" w:hAnsi="Times New Roman" w:cs="Times New Roman"/>
                <w:sz w:val="24"/>
                <w:szCs w:val="24"/>
                <w:lang w:val="en-GB"/>
              </w:rPr>
              <w:t xml:space="preserve"> "Methodology for Determining and Applying a Flat Rate for Indirect Costs</w:t>
            </w:r>
            <w:r w:rsidR="006C07EE" w:rsidRPr="006663E2">
              <w:rPr>
                <w:rFonts w:ascii="Times New Roman" w:eastAsia="Calibri" w:hAnsi="Times New Roman" w:cs="Times New Roman"/>
                <w:sz w:val="24"/>
                <w:szCs w:val="24"/>
                <w:lang w:val="en-GB"/>
              </w:rPr>
              <w:t>”</w:t>
            </w:r>
            <w:r w:rsidRPr="006663E2">
              <w:rPr>
                <w:rFonts w:ascii="Times New Roman" w:eastAsia="Calibri" w:hAnsi="Times New Roman" w:cs="Times New Roman"/>
                <w:sz w:val="24"/>
                <w:szCs w:val="24"/>
                <w:lang w:val="en-GB"/>
              </w:rPr>
              <w:t xml:space="preserve"> approved by the CPMA and published</w:t>
            </w:r>
            <w:r w:rsidR="006C07EE" w:rsidRPr="006663E2">
              <w:rPr>
                <w:rFonts w:ascii="Times New Roman" w:eastAsia="Calibri" w:hAnsi="Times New Roman" w:cs="Times New Roman"/>
                <w:sz w:val="24"/>
                <w:szCs w:val="24"/>
                <w:lang w:val="en-GB"/>
              </w:rPr>
              <w:t xml:space="preserve"> online</w:t>
            </w:r>
            <w:r w:rsidRPr="006663E2">
              <w:rPr>
                <w:rFonts w:ascii="Times New Roman" w:eastAsia="Calibri" w:hAnsi="Times New Roman" w:cs="Times New Roman"/>
                <w:sz w:val="24"/>
                <w:szCs w:val="24"/>
                <w:lang w:val="en-GB"/>
              </w:rPr>
              <w:t xml:space="preserve"> at </w:t>
            </w:r>
            <w:hyperlink r:id="rId15" w:history="1">
              <w:r w:rsidR="006C07EE" w:rsidRPr="006663E2">
                <w:rPr>
                  <w:rStyle w:val="Hyperlink"/>
                  <w:rFonts w:ascii="Times New Roman" w:eastAsia="Calibri" w:hAnsi="Times New Roman" w:cs="Times New Roman"/>
                  <w:sz w:val="24"/>
                  <w:szCs w:val="24"/>
                  <w:lang w:val="en-GB"/>
                </w:rPr>
                <w:t>www.cpva.lt</w:t>
              </w:r>
            </w:hyperlink>
            <w:r w:rsidR="006C07EE" w:rsidRPr="006663E2">
              <w:rPr>
                <w:rFonts w:ascii="Times New Roman" w:eastAsia="Calibri" w:hAnsi="Times New Roman" w:cs="Times New Roman"/>
                <w:sz w:val="24"/>
                <w:szCs w:val="24"/>
                <w:lang w:val="en-GB"/>
              </w:rPr>
              <w:t xml:space="preserve"> </w:t>
            </w:r>
            <w:r w:rsidRPr="006663E2">
              <w:rPr>
                <w:rFonts w:ascii="Times New Roman" w:eastAsia="Calibri" w:hAnsi="Times New Roman" w:cs="Times New Roman"/>
                <w:sz w:val="24"/>
                <w:szCs w:val="24"/>
                <w:lang w:val="en-GB"/>
              </w:rPr>
              <w:t>(current edition</w:t>
            </w:r>
            <w:r w:rsidR="006C07EE" w:rsidRPr="006663E2">
              <w:rPr>
                <w:rFonts w:ascii="Times New Roman" w:eastAsia="Calibri" w:hAnsi="Times New Roman" w:cs="Times New Roman"/>
                <w:sz w:val="24"/>
                <w:szCs w:val="24"/>
                <w:lang w:val="en-GB"/>
              </w:rPr>
              <w:t xml:space="preserve">: </w:t>
            </w:r>
            <w:r w:rsidR="007B3410" w:rsidRPr="006663E2">
              <w:rPr>
                <w:rFonts w:ascii="Times New Roman" w:eastAsia="Times New Roman" w:hAnsi="Times New Roman" w:cs="Times New Roman"/>
                <w:sz w:val="24"/>
                <w:szCs w:val="24"/>
                <w:lang w:val="en-GB" w:eastAsia="lt-LT"/>
              </w:rPr>
              <w:t xml:space="preserve"> </w:t>
            </w:r>
            <w:hyperlink r:id="rId16" w:history="1">
              <w:r w:rsidR="007679FE" w:rsidRPr="006663E2">
                <w:rPr>
                  <w:rStyle w:val="Hyperlink"/>
                  <w:rFonts w:ascii="Times New Roman" w:eastAsia="Times New Roman" w:hAnsi="Times New Roman" w:cs="Times New Roman"/>
                  <w:color w:val="auto"/>
                  <w:sz w:val="24"/>
                  <w:szCs w:val="24"/>
                  <w:lang w:val="en-GB" w:eastAsia="lt-LT"/>
                </w:rPr>
                <w:t>https://www.cpva.lt/eee-ir-norvegijos-finansiniai-mechanizmai-2014-2021-m./dokumentai/682/act719?sqid=994b3627fada2d63b94793688db3b709c08413e2</w:t>
              </w:r>
            </w:hyperlink>
            <w:r w:rsidR="00063A27" w:rsidRPr="006663E2">
              <w:rPr>
                <w:rFonts w:ascii="Times New Roman" w:eastAsia="Times New Roman" w:hAnsi="Times New Roman" w:cs="Times New Roman"/>
                <w:sz w:val="24"/>
                <w:szCs w:val="24"/>
                <w:lang w:val="en-GB" w:eastAsia="lt-LT"/>
              </w:rPr>
              <w:t>)</w:t>
            </w:r>
            <w:r w:rsidR="006774F8" w:rsidRPr="006663E2">
              <w:rPr>
                <w:rFonts w:ascii="Times New Roman" w:eastAsia="Times New Roman" w:hAnsi="Times New Roman" w:cs="Times New Roman"/>
                <w:sz w:val="24"/>
                <w:szCs w:val="24"/>
                <w:lang w:val="en-GB" w:eastAsia="lt-LT"/>
              </w:rPr>
              <w:t>.</w:t>
            </w:r>
          </w:p>
          <w:p w14:paraId="56273062" w14:textId="5871082D" w:rsidR="000647ED" w:rsidRPr="006663E2" w:rsidRDefault="000647ED" w:rsidP="00C540E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xml:space="preserve">Examples of indirect costs </w:t>
            </w:r>
            <w:r w:rsidR="00732E97" w:rsidRPr="006663E2">
              <w:rPr>
                <w:rFonts w:ascii="Times New Roman" w:eastAsia="Times New Roman" w:hAnsi="Times New Roman" w:cs="Times New Roman"/>
                <w:sz w:val="24"/>
                <w:szCs w:val="24"/>
                <w:lang w:val="en-GB" w:eastAsia="lt-LT"/>
              </w:rPr>
              <w:t>are</w:t>
            </w:r>
            <w:r w:rsidRPr="006663E2">
              <w:rPr>
                <w:rFonts w:ascii="Times New Roman" w:eastAsia="Times New Roman" w:hAnsi="Times New Roman" w:cs="Times New Roman"/>
                <w:sz w:val="24"/>
                <w:szCs w:val="24"/>
                <w:lang w:val="en-GB" w:eastAsia="lt-LT"/>
              </w:rPr>
              <w:t xml:space="preserve"> the </w:t>
            </w:r>
            <w:r w:rsidR="00732E97" w:rsidRPr="006663E2">
              <w:rPr>
                <w:rFonts w:ascii="Times New Roman" w:eastAsia="Times New Roman" w:hAnsi="Times New Roman" w:cs="Times New Roman"/>
                <w:sz w:val="24"/>
                <w:szCs w:val="24"/>
                <w:lang w:val="en-GB" w:eastAsia="lt-LT"/>
              </w:rPr>
              <w:t>general</w:t>
            </w:r>
            <w:r w:rsidRPr="006663E2">
              <w:rPr>
                <w:rFonts w:ascii="Times New Roman" w:eastAsia="Times New Roman" w:hAnsi="Times New Roman" w:cs="Times New Roman"/>
                <w:sz w:val="24"/>
                <w:szCs w:val="24"/>
                <w:lang w:val="en-GB" w:eastAsia="lt-LT"/>
              </w:rPr>
              <w:t xml:space="preserve"> costs of the organization for infrastructure (such as electricity, natural gas, heating, water, cleaning, security, room maintenance, communications, etc.), small office equipment and office supplies, and horizontal activities of the organization such as administrative and financial management, human resources, training, legal advice, etc., as part of the project implementation.</w:t>
            </w:r>
          </w:p>
        </w:tc>
      </w:tr>
    </w:tbl>
    <w:p w14:paraId="0CC7E9C9" w14:textId="77777777" w:rsidR="00063A27" w:rsidRPr="006663E2" w:rsidRDefault="00063A27" w:rsidP="00C540E2">
      <w:pPr>
        <w:spacing w:after="120" w:line="240" w:lineRule="auto"/>
        <w:rPr>
          <w:rFonts w:ascii="Times New Roman" w:eastAsia="Times New Roman" w:hAnsi="Times New Roman" w:cs="Times New Roman"/>
          <w:sz w:val="24"/>
          <w:szCs w:val="24"/>
          <w:lang w:val="en-GB" w:eastAsia="lt-LT"/>
        </w:rPr>
      </w:pPr>
      <w:r w:rsidRPr="006663E2">
        <w:rPr>
          <w:rFonts w:ascii="Times New Roman" w:eastAsia="Times New Roman" w:hAnsi="Times New Roman" w:cs="Times New Roman"/>
          <w:sz w:val="24"/>
          <w:szCs w:val="24"/>
          <w:lang w:val="en-GB" w:eastAsia="lt-LT"/>
        </w:rPr>
        <w:t> </w:t>
      </w:r>
    </w:p>
    <w:p w14:paraId="7153FBA9" w14:textId="4835B567" w:rsidR="00B6310B" w:rsidRPr="006663E2" w:rsidRDefault="00B6310B" w:rsidP="00C540E2">
      <w:pPr>
        <w:pStyle w:val="ListParagraph"/>
        <w:numPr>
          <w:ilvl w:val="0"/>
          <w:numId w:val="12"/>
        </w:numPr>
        <w:tabs>
          <w:tab w:val="left" w:pos="851"/>
          <w:tab w:val="left" w:pos="993"/>
          <w:tab w:val="left" w:pos="1134"/>
        </w:tabs>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The flat rates applied during the implementation of the project shall not be changed, unless the coordinating authority, audit authority or other auditing authorities or, in the case of simplified costing methodologies for European Union Structural Funds projects, the European Union Structural Funds Managing Authority or audit authority determines that: the amount of the simplified reimbursement or the conditions for its application were incorrectly determined (in cases where the amount should have been lower or otherwise applied), the adjusted amount or the conditions for its application shall apply to the simplified reimbursement costs incurred from the date of entry into force of the simplification pay).</w:t>
      </w:r>
    </w:p>
    <w:p w14:paraId="5F0F73F3" w14:textId="4A0AF7A9" w:rsidR="000647ED" w:rsidRPr="006663E2" w:rsidRDefault="000647ED" w:rsidP="00C540E2">
      <w:pPr>
        <w:pStyle w:val="ListParagraph"/>
        <w:numPr>
          <w:ilvl w:val="0"/>
          <w:numId w:val="12"/>
        </w:numPr>
        <w:shd w:val="clear" w:color="auto" w:fill="FFFFFF"/>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Calibri" w:hAnsi="Times New Roman" w:cs="Times New Roman"/>
          <w:sz w:val="24"/>
          <w:szCs w:val="24"/>
          <w:lang w:val="en-GB"/>
        </w:rPr>
        <w:t xml:space="preserve">Costs that are </w:t>
      </w:r>
      <w:r w:rsidRPr="006663E2">
        <w:rPr>
          <w:rFonts w:ascii="Times New Roman" w:eastAsia="Times New Roman" w:hAnsi="Times New Roman" w:cs="Times New Roman"/>
          <w:sz w:val="24"/>
          <w:szCs w:val="24"/>
          <w:lang w:val="en-GB" w:eastAsia="lt-LT"/>
        </w:rPr>
        <w:t>necessary for the administration of the project</w:t>
      </w:r>
      <w:r w:rsidR="00667EF9" w:rsidRPr="006663E2">
        <w:rPr>
          <w:rFonts w:ascii="Times New Roman" w:eastAsia="Times New Roman" w:hAnsi="Times New Roman" w:cs="Times New Roman"/>
          <w:sz w:val="24"/>
          <w:szCs w:val="24"/>
          <w:lang w:val="en-GB" w:eastAsia="lt-LT"/>
        </w:rPr>
        <w:t xml:space="preserve"> </w:t>
      </w:r>
      <w:r w:rsidR="00667EF9" w:rsidRPr="006663E2">
        <w:rPr>
          <w:rFonts w:ascii="Times New Roman" w:eastAsia="Calibri" w:hAnsi="Times New Roman" w:cs="Times New Roman"/>
          <w:sz w:val="24"/>
          <w:szCs w:val="24"/>
          <w:lang w:val="en-GB"/>
        </w:rPr>
        <w:t xml:space="preserve">indicated in the </w:t>
      </w:r>
      <w:r w:rsidR="008E1CE2" w:rsidRPr="006663E2">
        <w:rPr>
          <w:rFonts w:ascii="Times New Roman" w:eastAsia="Calibri" w:hAnsi="Times New Roman" w:cs="Times New Roman"/>
          <w:sz w:val="24"/>
          <w:szCs w:val="24"/>
          <w:lang w:val="en-GB"/>
        </w:rPr>
        <w:t>paragraph 40</w:t>
      </w:r>
      <w:r w:rsidR="00667EF9" w:rsidRPr="006663E2">
        <w:rPr>
          <w:rFonts w:ascii="Times New Roman" w:eastAsia="Calibri" w:hAnsi="Times New Roman" w:cs="Times New Roman"/>
          <w:sz w:val="24"/>
          <w:szCs w:val="24"/>
          <w:lang w:val="en-GB"/>
        </w:rPr>
        <w:t xml:space="preserve"> under headings 3 to 6</w:t>
      </w:r>
      <w:r w:rsidRPr="006663E2">
        <w:rPr>
          <w:rFonts w:ascii="Times New Roman" w:eastAsia="Times New Roman" w:hAnsi="Times New Roman" w:cs="Times New Roman"/>
          <w:sz w:val="24"/>
          <w:szCs w:val="24"/>
          <w:lang w:val="en-GB" w:eastAsia="lt-LT"/>
        </w:rPr>
        <w:t>, e.g. salary expenses of Project Promoter’s or Partner’s employees for time spent working on project administration, purchase of goods for project administration purposes, costs of project administration services, costs of inspection (auditing) of expenses of partners from Donor States (where applicable), other project-administration related costs. Project administration costs may not exceed 10</w:t>
      </w:r>
      <w:r w:rsidR="008F3D58" w:rsidRPr="006663E2">
        <w:rPr>
          <w:rFonts w:ascii="Times New Roman" w:eastAsia="Times New Roman" w:hAnsi="Times New Roman" w:cs="Times New Roman"/>
          <w:sz w:val="24"/>
          <w:szCs w:val="24"/>
          <w:lang w:val="en-GB" w:eastAsia="lt-LT"/>
        </w:rPr>
        <w:t xml:space="preserve"> percent</w:t>
      </w:r>
      <w:r w:rsidRPr="006663E2">
        <w:rPr>
          <w:rFonts w:ascii="Times New Roman" w:eastAsia="Times New Roman" w:hAnsi="Times New Roman" w:cs="Times New Roman"/>
          <w:sz w:val="24"/>
          <w:szCs w:val="24"/>
          <w:lang w:val="en-GB" w:eastAsia="lt-LT"/>
        </w:rPr>
        <w:t xml:space="preserve"> of eligible project costs.</w:t>
      </w:r>
    </w:p>
    <w:p w14:paraId="3E34623F" w14:textId="2D7CF64E" w:rsidR="00667EF9" w:rsidRPr="006663E2" w:rsidRDefault="000647ED" w:rsidP="00C540E2">
      <w:pPr>
        <w:pStyle w:val="ListParagraph"/>
        <w:numPr>
          <w:ilvl w:val="0"/>
          <w:numId w:val="12"/>
        </w:numPr>
        <w:shd w:val="clear" w:color="auto" w:fill="FFFFFF"/>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Calibri" w:hAnsi="Times New Roman" w:cs="Times New Roman"/>
          <w:sz w:val="24"/>
          <w:szCs w:val="24"/>
          <w:lang w:val="en-GB"/>
        </w:rPr>
        <w:t xml:space="preserve">The </w:t>
      </w:r>
      <w:r w:rsidR="00667EF9" w:rsidRPr="006663E2">
        <w:rPr>
          <w:rFonts w:ascii="Times New Roman" w:eastAsia="Calibri" w:hAnsi="Times New Roman" w:cs="Times New Roman"/>
          <w:sz w:val="24"/>
          <w:szCs w:val="24"/>
          <w:lang w:val="en-GB"/>
        </w:rPr>
        <w:t>publicity</w:t>
      </w:r>
      <w:r w:rsidRPr="006663E2">
        <w:rPr>
          <w:rFonts w:ascii="Times New Roman" w:eastAsia="Calibri" w:hAnsi="Times New Roman" w:cs="Times New Roman"/>
          <w:sz w:val="24"/>
          <w:szCs w:val="24"/>
          <w:lang w:val="en-GB"/>
        </w:rPr>
        <w:t xml:space="preserve"> costs of the project </w:t>
      </w:r>
      <w:r w:rsidR="00667EF9" w:rsidRPr="006663E2">
        <w:rPr>
          <w:rFonts w:ascii="Times New Roman" w:eastAsia="Calibri" w:hAnsi="Times New Roman" w:cs="Times New Roman"/>
          <w:sz w:val="24"/>
          <w:szCs w:val="24"/>
          <w:lang w:val="en-GB"/>
        </w:rPr>
        <w:t>indicated</w:t>
      </w:r>
      <w:r w:rsidRPr="006663E2">
        <w:rPr>
          <w:rFonts w:ascii="Times New Roman" w:eastAsia="Calibri" w:hAnsi="Times New Roman" w:cs="Times New Roman"/>
          <w:sz w:val="24"/>
          <w:szCs w:val="24"/>
          <w:lang w:val="en-GB"/>
        </w:rPr>
        <w:t xml:space="preserve"> in </w:t>
      </w:r>
      <w:r w:rsidR="00667EF9" w:rsidRPr="006663E2">
        <w:rPr>
          <w:rFonts w:ascii="Times New Roman" w:eastAsia="Calibri" w:hAnsi="Times New Roman" w:cs="Times New Roman"/>
          <w:sz w:val="24"/>
          <w:szCs w:val="24"/>
          <w:lang w:val="en-GB"/>
        </w:rPr>
        <w:t xml:space="preserve">the </w:t>
      </w:r>
      <w:r w:rsidR="008E1CE2" w:rsidRPr="006663E2">
        <w:rPr>
          <w:rFonts w:ascii="Times New Roman" w:eastAsia="Calibri" w:hAnsi="Times New Roman" w:cs="Times New Roman"/>
          <w:sz w:val="24"/>
          <w:szCs w:val="24"/>
          <w:lang w:val="en-GB"/>
        </w:rPr>
        <w:t>paragraph 40</w:t>
      </w:r>
      <w:r w:rsidRPr="006663E2">
        <w:rPr>
          <w:rFonts w:ascii="Times New Roman" w:eastAsia="Calibri" w:hAnsi="Times New Roman" w:cs="Times New Roman"/>
          <w:sz w:val="24"/>
          <w:szCs w:val="24"/>
          <w:lang w:val="en-GB"/>
        </w:rPr>
        <w:t xml:space="preserve"> under headings 3 to 6 shall be considered as direct costs of the project and shall be eligible for financing </w:t>
      </w:r>
      <w:r w:rsidR="00FC6370" w:rsidRPr="006663E2">
        <w:rPr>
          <w:rFonts w:ascii="Times New Roman" w:eastAsia="Calibri" w:hAnsi="Times New Roman" w:cs="Times New Roman"/>
          <w:sz w:val="24"/>
          <w:szCs w:val="24"/>
          <w:lang w:val="en-GB"/>
        </w:rPr>
        <w:t xml:space="preserve">when incurred in the course of communication actions of the project as foreseen in the clauses 260-264 of the </w:t>
      </w:r>
      <w:r w:rsidRPr="006663E2">
        <w:rPr>
          <w:rFonts w:ascii="Times New Roman" w:eastAsia="Calibri" w:hAnsi="Times New Roman" w:cs="Times New Roman"/>
          <w:sz w:val="24"/>
          <w:szCs w:val="24"/>
          <w:lang w:val="en-GB"/>
        </w:rPr>
        <w:t>MAF</w:t>
      </w:r>
      <w:r w:rsidR="00FC6370" w:rsidRPr="006663E2">
        <w:rPr>
          <w:rFonts w:ascii="Times New Roman" w:eastAsia="Calibri" w:hAnsi="Times New Roman" w:cs="Times New Roman"/>
          <w:sz w:val="24"/>
          <w:szCs w:val="24"/>
          <w:lang w:val="en-GB"/>
        </w:rPr>
        <w:t>R.</w:t>
      </w:r>
      <w:r w:rsidRPr="006663E2">
        <w:rPr>
          <w:rFonts w:ascii="Times New Roman" w:eastAsia="Calibri" w:hAnsi="Times New Roman" w:cs="Times New Roman"/>
          <w:sz w:val="24"/>
          <w:szCs w:val="24"/>
          <w:lang w:val="en-GB"/>
        </w:rPr>
        <w:t xml:space="preserve"> </w:t>
      </w:r>
    </w:p>
    <w:p w14:paraId="4E404FA5" w14:textId="337C2F6E" w:rsidR="00D75EDF" w:rsidRPr="006663E2" w:rsidRDefault="00D75EDF" w:rsidP="00C540E2">
      <w:pPr>
        <w:pStyle w:val="ListParagraph"/>
        <w:numPr>
          <w:ilvl w:val="0"/>
          <w:numId w:val="12"/>
        </w:numPr>
        <w:shd w:val="clear" w:color="auto" w:fill="FFFFFF"/>
        <w:spacing w:after="120" w:line="240" w:lineRule="auto"/>
        <w:jc w:val="both"/>
        <w:rPr>
          <w:rFonts w:ascii="Times New Roman" w:eastAsia="Times New Roman" w:hAnsi="Times New Roman" w:cs="Times New Roman"/>
          <w:sz w:val="24"/>
          <w:szCs w:val="24"/>
          <w:lang w:val="en-GB" w:eastAsia="lt-LT"/>
        </w:rPr>
      </w:pPr>
      <w:r w:rsidRPr="006663E2">
        <w:rPr>
          <w:rFonts w:ascii="Times New Roman" w:eastAsia="Calibri" w:hAnsi="Times New Roman" w:cs="Times New Roman"/>
          <w:sz w:val="24"/>
          <w:szCs w:val="24"/>
          <w:lang w:val="en-GB"/>
        </w:rPr>
        <w:lastRenderedPageBreak/>
        <w:t xml:space="preserve">Value added tax (VAT), which the </w:t>
      </w:r>
      <w:r w:rsidR="0017538A"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pplicant (</w:t>
      </w:r>
      <w:r w:rsidR="0017538A" w:rsidRPr="006663E2">
        <w:rPr>
          <w:rFonts w:ascii="Times New Roman" w:eastAsia="Calibri" w:hAnsi="Times New Roman" w:cs="Times New Roman"/>
          <w:sz w:val="24"/>
          <w:szCs w:val="24"/>
          <w:lang w:val="en-GB"/>
        </w:rPr>
        <w:t>the P</w:t>
      </w:r>
      <w:r w:rsidRPr="006663E2">
        <w:rPr>
          <w:rFonts w:ascii="Times New Roman" w:eastAsia="Calibri" w:hAnsi="Times New Roman" w:cs="Times New Roman"/>
          <w:sz w:val="24"/>
          <w:szCs w:val="24"/>
          <w:lang w:val="en-GB"/>
        </w:rPr>
        <w:t xml:space="preserve">roject </w:t>
      </w:r>
      <w:r w:rsidR="0017538A"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romoter) and / or </w:t>
      </w:r>
      <w:r w:rsidR="0017538A"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 xml:space="preserve"> </w:t>
      </w:r>
      <w:r w:rsidR="0017538A"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artner will not or could not deduct and recover according to legislation, shall be eligible for financing from mechanism and co-financing funds.</w:t>
      </w:r>
    </w:p>
    <w:p w14:paraId="143C3A6C" w14:textId="554A6CE8" w:rsidR="00D75EDF" w:rsidRPr="006663E2" w:rsidRDefault="00D75EDF"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In all cases, ineligible costs are defined in Section III of Chapter XIX of the MAFR.</w:t>
      </w:r>
    </w:p>
    <w:p w14:paraId="6599EDAA" w14:textId="7075CC09" w:rsidR="00D75EDF" w:rsidRPr="006663E2" w:rsidRDefault="00D75EDF"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Project costs shall be compensated upon the </w:t>
      </w:r>
      <w:r w:rsidR="00171573"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roject </w:t>
      </w:r>
      <w:r w:rsidR="00171573"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romoter’s submission of a payment request in application of the method of cost compensation with or without an advance payment, and / or the payment of invoices. The procedure and method (-s) of payment of </w:t>
      </w:r>
      <w:r w:rsidR="00596BED" w:rsidRPr="006663E2">
        <w:rPr>
          <w:rFonts w:ascii="Times New Roman" w:eastAsia="Calibri" w:hAnsi="Times New Roman" w:cs="Times New Roman"/>
          <w:sz w:val="24"/>
          <w:szCs w:val="24"/>
          <w:lang w:val="en-GB"/>
        </w:rPr>
        <w:t>costs</w:t>
      </w:r>
      <w:r w:rsidRPr="006663E2">
        <w:rPr>
          <w:rFonts w:ascii="Times New Roman" w:eastAsia="Calibri" w:hAnsi="Times New Roman" w:cs="Times New Roman"/>
          <w:sz w:val="24"/>
          <w:szCs w:val="24"/>
          <w:lang w:val="en-GB"/>
        </w:rPr>
        <w:t xml:space="preserve"> shall be set out in the project </w:t>
      </w:r>
      <w:r w:rsidR="0081545D" w:rsidRPr="006663E2">
        <w:rPr>
          <w:rFonts w:ascii="Times New Roman" w:eastAsia="Calibri" w:hAnsi="Times New Roman" w:cs="Times New Roman"/>
          <w:sz w:val="24"/>
          <w:szCs w:val="24"/>
          <w:lang w:val="en-GB"/>
        </w:rPr>
        <w:t>contract</w:t>
      </w:r>
      <w:r w:rsidRPr="006663E2">
        <w:rPr>
          <w:rFonts w:ascii="Times New Roman" w:eastAsia="Calibri" w:hAnsi="Times New Roman" w:cs="Times New Roman"/>
          <w:sz w:val="24"/>
          <w:szCs w:val="24"/>
          <w:lang w:val="en-GB"/>
        </w:rPr>
        <w:t>.</w:t>
      </w:r>
    </w:p>
    <w:p w14:paraId="10FEDE22" w14:textId="0CF80AC0" w:rsidR="00063A27" w:rsidRPr="006663E2" w:rsidRDefault="00D75EDF"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In the course of the implementation of the project, </w:t>
      </w:r>
      <w:r w:rsidR="001A1948" w:rsidRPr="006663E2">
        <w:rPr>
          <w:rFonts w:ascii="Times New Roman" w:eastAsia="Calibri" w:hAnsi="Times New Roman" w:cs="Times New Roman"/>
          <w:sz w:val="24"/>
          <w:szCs w:val="24"/>
          <w:lang w:val="en-GB"/>
        </w:rPr>
        <w:t xml:space="preserve">the Project Promoter has a possibility to request an advance payment not exceeding </w:t>
      </w:r>
      <w:r w:rsidRPr="006663E2">
        <w:rPr>
          <w:rFonts w:ascii="Times New Roman" w:eastAsia="Calibri" w:hAnsi="Times New Roman" w:cs="Times New Roman"/>
          <w:sz w:val="24"/>
          <w:szCs w:val="24"/>
          <w:lang w:val="en-GB"/>
        </w:rPr>
        <w:t>30</w:t>
      </w:r>
      <w:r w:rsidR="008F3D58" w:rsidRPr="006663E2">
        <w:rPr>
          <w:rFonts w:ascii="Times New Roman" w:eastAsia="Calibri" w:hAnsi="Times New Roman" w:cs="Times New Roman"/>
          <w:sz w:val="24"/>
          <w:szCs w:val="24"/>
          <w:lang w:val="en-GB"/>
        </w:rPr>
        <w:t xml:space="preserve"> percent</w:t>
      </w:r>
      <w:r w:rsidRPr="006663E2">
        <w:rPr>
          <w:rFonts w:ascii="Times New Roman" w:eastAsia="Calibri" w:hAnsi="Times New Roman" w:cs="Times New Roman"/>
          <w:sz w:val="24"/>
          <w:szCs w:val="24"/>
          <w:lang w:val="en-GB"/>
        </w:rPr>
        <w:t xml:space="preserve"> of </w:t>
      </w:r>
      <w:r w:rsidR="001A1948" w:rsidRPr="006663E2">
        <w:rPr>
          <w:rFonts w:ascii="Times New Roman" w:eastAsia="Calibri" w:hAnsi="Times New Roman" w:cs="Times New Roman"/>
          <w:sz w:val="24"/>
          <w:szCs w:val="24"/>
          <w:lang w:val="en-GB"/>
        </w:rPr>
        <w:t>the total grant amount</w:t>
      </w:r>
      <w:r w:rsidRPr="006663E2">
        <w:rPr>
          <w:rFonts w:ascii="Times New Roman" w:eastAsia="Calibri" w:hAnsi="Times New Roman" w:cs="Times New Roman"/>
          <w:sz w:val="24"/>
          <w:szCs w:val="24"/>
          <w:lang w:val="en-GB"/>
        </w:rPr>
        <w:t xml:space="preserve"> (</w:t>
      </w:r>
      <w:r w:rsidR="0009436A" w:rsidRPr="006663E2">
        <w:rPr>
          <w:rFonts w:ascii="Times New Roman" w:eastAsia="Calibri" w:hAnsi="Times New Roman" w:cs="Times New Roman"/>
          <w:sz w:val="24"/>
          <w:szCs w:val="24"/>
          <w:lang w:val="en-GB"/>
        </w:rPr>
        <w:t xml:space="preserve">if the payment of an advance has been provided for in </w:t>
      </w:r>
      <w:r w:rsidRPr="006663E2">
        <w:rPr>
          <w:rFonts w:ascii="Times New Roman" w:eastAsia="Calibri" w:hAnsi="Times New Roman" w:cs="Times New Roman"/>
          <w:sz w:val="24"/>
          <w:szCs w:val="24"/>
          <w:lang w:val="en-GB"/>
        </w:rPr>
        <w:t xml:space="preserve">the project </w:t>
      </w:r>
      <w:r w:rsidR="0081545D" w:rsidRPr="006663E2">
        <w:rPr>
          <w:rFonts w:ascii="Times New Roman" w:eastAsia="Calibri" w:hAnsi="Times New Roman" w:cs="Times New Roman"/>
          <w:sz w:val="24"/>
          <w:szCs w:val="24"/>
          <w:lang w:val="en-GB"/>
        </w:rPr>
        <w:t>contract</w:t>
      </w:r>
      <w:r w:rsidRPr="006663E2">
        <w:rPr>
          <w:rFonts w:ascii="Times New Roman" w:eastAsia="Calibri" w:hAnsi="Times New Roman" w:cs="Times New Roman"/>
          <w:sz w:val="24"/>
          <w:szCs w:val="24"/>
          <w:lang w:val="en-GB"/>
        </w:rPr>
        <w:t xml:space="preserve">), </w:t>
      </w:r>
      <w:r w:rsidR="0009436A" w:rsidRPr="006663E2">
        <w:rPr>
          <w:rFonts w:ascii="Times New Roman" w:eastAsia="Calibri" w:hAnsi="Times New Roman" w:cs="Times New Roman"/>
          <w:sz w:val="24"/>
          <w:szCs w:val="24"/>
          <w:lang w:val="en-GB"/>
        </w:rPr>
        <w:t xml:space="preserve">which shall later be registered after the recognition of declared expenses as </w:t>
      </w:r>
      <w:r w:rsidRPr="006663E2">
        <w:rPr>
          <w:rFonts w:ascii="Times New Roman" w:eastAsia="Calibri" w:hAnsi="Times New Roman" w:cs="Times New Roman"/>
          <w:sz w:val="24"/>
          <w:szCs w:val="24"/>
          <w:lang w:val="en-GB"/>
        </w:rPr>
        <w:t xml:space="preserve">eligible costs in accordance with </w:t>
      </w:r>
      <w:r w:rsidR="0009436A" w:rsidRPr="006663E2">
        <w:rPr>
          <w:rFonts w:ascii="Times New Roman" w:eastAsia="Calibri" w:hAnsi="Times New Roman" w:cs="Times New Roman"/>
          <w:sz w:val="24"/>
          <w:szCs w:val="24"/>
          <w:lang w:val="en-GB"/>
        </w:rPr>
        <w:t>the provisions of clause</w:t>
      </w:r>
      <w:r w:rsidRPr="006663E2">
        <w:rPr>
          <w:rFonts w:ascii="Times New Roman" w:eastAsia="Calibri" w:hAnsi="Times New Roman" w:cs="Times New Roman"/>
          <w:sz w:val="24"/>
          <w:szCs w:val="24"/>
          <w:lang w:val="en-GB"/>
        </w:rPr>
        <w:t xml:space="preserve"> 300 of the MAF</w:t>
      </w:r>
      <w:r w:rsidR="00A01A8F" w:rsidRPr="006663E2">
        <w:rPr>
          <w:rFonts w:ascii="Times New Roman" w:eastAsia="Calibri" w:hAnsi="Times New Roman" w:cs="Times New Roman"/>
          <w:sz w:val="24"/>
          <w:szCs w:val="24"/>
          <w:lang w:val="en-GB"/>
        </w:rPr>
        <w:t>R</w:t>
      </w:r>
      <w:r w:rsidRPr="006663E2">
        <w:rPr>
          <w:rFonts w:ascii="Times New Roman" w:eastAsia="Calibri" w:hAnsi="Times New Roman" w:cs="Times New Roman"/>
          <w:sz w:val="24"/>
          <w:szCs w:val="24"/>
          <w:lang w:val="en-GB"/>
        </w:rPr>
        <w:t xml:space="preserve">. </w:t>
      </w:r>
      <w:r w:rsidR="00A01A8F" w:rsidRPr="006663E2">
        <w:rPr>
          <w:rFonts w:ascii="Times New Roman" w:eastAsia="Calibri" w:hAnsi="Times New Roman" w:cs="Times New Roman"/>
          <w:sz w:val="24"/>
          <w:szCs w:val="24"/>
          <w:lang w:val="en-GB"/>
        </w:rPr>
        <w:t xml:space="preserve">An advance </w:t>
      </w:r>
      <w:r w:rsidR="00596BED" w:rsidRPr="006663E2">
        <w:rPr>
          <w:rFonts w:ascii="Times New Roman" w:eastAsia="Calibri" w:hAnsi="Times New Roman" w:cs="Times New Roman"/>
          <w:sz w:val="24"/>
          <w:szCs w:val="24"/>
          <w:lang w:val="en-GB"/>
        </w:rPr>
        <w:t>assurance</w:t>
      </w:r>
      <w:r w:rsidR="00A01A8F" w:rsidRPr="006663E2">
        <w:rPr>
          <w:rFonts w:ascii="Times New Roman" w:eastAsia="Calibri" w:hAnsi="Times New Roman" w:cs="Times New Roman"/>
          <w:sz w:val="24"/>
          <w:szCs w:val="24"/>
          <w:lang w:val="en-GB"/>
        </w:rPr>
        <w:t xml:space="preserve"> document (where applicable in accordance with clause 289.2 of the MAFR) shall be presented along with an </w:t>
      </w:r>
      <w:r w:rsidRPr="006663E2">
        <w:rPr>
          <w:rFonts w:ascii="Times New Roman" w:eastAsia="Calibri" w:hAnsi="Times New Roman" w:cs="Times New Roman"/>
          <w:sz w:val="24"/>
          <w:szCs w:val="24"/>
          <w:lang w:val="en-GB"/>
        </w:rPr>
        <w:t xml:space="preserve">advance payment </w:t>
      </w:r>
      <w:r w:rsidR="00A01A8F" w:rsidRPr="006663E2">
        <w:rPr>
          <w:rFonts w:ascii="Times New Roman" w:eastAsia="Calibri" w:hAnsi="Times New Roman" w:cs="Times New Roman"/>
          <w:sz w:val="24"/>
          <w:szCs w:val="24"/>
          <w:lang w:val="en-GB"/>
        </w:rPr>
        <w:t xml:space="preserve">request </w:t>
      </w:r>
      <w:r w:rsidRPr="006663E2">
        <w:rPr>
          <w:rFonts w:ascii="Times New Roman" w:eastAsia="Calibri" w:hAnsi="Times New Roman" w:cs="Times New Roman"/>
          <w:sz w:val="24"/>
          <w:szCs w:val="24"/>
          <w:lang w:val="en-GB"/>
        </w:rPr>
        <w:t xml:space="preserve">(if any). If an advance payment is made for a project, the </w:t>
      </w:r>
      <w:r w:rsidR="00596BED" w:rsidRPr="006663E2">
        <w:rPr>
          <w:rFonts w:ascii="Times New Roman" w:eastAsia="Calibri" w:hAnsi="Times New Roman" w:cs="Times New Roman"/>
          <w:sz w:val="24"/>
          <w:szCs w:val="24"/>
          <w:lang w:val="en-GB"/>
        </w:rPr>
        <w:t xml:space="preserve">Project Promoter </w:t>
      </w:r>
      <w:r w:rsidR="00A01A8F" w:rsidRPr="006663E2">
        <w:rPr>
          <w:rFonts w:ascii="Times New Roman" w:eastAsia="Calibri" w:hAnsi="Times New Roman" w:cs="Times New Roman"/>
          <w:sz w:val="24"/>
          <w:szCs w:val="24"/>
          <w:lang w:val="en-GB"/>
        </w:rPr>
        <w:t>shall</w:t>
      </w:r>
      <w:r w:rsidRPr="006663E2">
        <w:rPr>
          <w:rFonts w:ascii="Times New Roman" w:eastAsia="Calibri" w:hAnsi="Times New Roman" w:cs="Times New Roman"/>
          <w:sz w:val="24"/>
          <w:szCs w:val="24"/>
          <w:lang w:val="en-GB"/>
        </w:rPr>
        <w:t xml:space="preserve"> have a separate account with the credit institution for managing </w:t>
      </w:r>
      <w:r w:rsidR="00A01A8F" w:rsidRPr="006663E2">
        <w:rPr>
          <w:rFonts w:ascii="Times New Roman" w:eastAsia="Calibri" w:hAnsi="Times New Roman" w:cs="Times New Roman"/>
          <w:sz w:val="24"/>
          <w:szCs w:val="24"/>
          <w:lang w:val="en-GB"/>
        </w:rPr>
        <w:t>financing allocated for the project</w:t>
      </w:r>
      <w:r w:rsidR="00B932E0" w:rsidRPr="006663E2">
        <w:rPr>
          <w:rFonts w:ascii="Times New Roman" w:eastAsia="Calibri" w:hAnsi="Times New Roman" w:cs="Times New Roman"/>
          <w:sz w:val="24"/>
          <w:szCs w:val="24"/>
          <w:lang w:val="en-GB"/>
        </w:rPr>
        <w:t>.</w:t>
      </w:r>
    </w:p>
    <w:p w14:paraId="43D3244C" w14:textId="6F45E07B" w:rsidR="005921DA" w:rsidRPr="006663E2" w:rsidRDefault="00A01A8F"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A </w:t>
      </w:r>
      <w:r w:rsidR="00596BED"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roject </w:t>
      </w:r>
      <w:r w:rsidR="00596BED" w:rsidRPr="006663E2">
        <w:rPr>
          <w:rFonts w:ascii="Times New Roman" w:eastAsia="Calibri" w:hAnsi="Times New Roman" w:cs="Times New Roman"/>
          <w:sz w:val="24"/>
          <w:szCs w:val="24"/>
          <w:lang w:val="en-GB"/>
        </w:rPr>
        <w:t>P</w:t>
      </w:r>
      <w:r w:rsidRPr="006663E2">
        <w:rPr>
          <w:rFonts w:ascii="Times New Roman" w:eastAsia="Calibri" w:hAnsi="Times New Roman" w:cs="Times New Roman"/>
          <w:sz w:val="24"/>
          <w:szCs w:val="24"/>
          <w:lang w:val="en-GB"/>
        </w:rPr>
        <w:t xml:space="preserve">artner (-s) from a Donor State and/or a project participant (-s) from a Donor State shall account for the expenses incurred in the course of project implementation in accordance with the procedure laid down in clauses </w:t>
      </w:r>
      <w:r w:rsidR="00063A27" w:rsidRPr="006663E2">
        <w:rPr>
          <w:rFonts w:ascii="Times New Roman" w:eastAsia="Calibri" w:hAnsi="Times New Roman" w:cs="Times New Roman"/>
          <w:sz w:val="24"/>
          <w:szCs w:val="24"/>
          <w:lang w:val="en-GB"/>
        </w:rPr>
        <w:t xml:space="preserve">292-294 </w:t>
      </w:r>
      <w:r w:rsidRPr="006663E2">
        <w:rPr>
          <w:rFonts w:ascii="Times New Roman" w:eastAsia="Calibri" w:hAnsi="Times New Roman" w:cs="Times New Roman"/>
          <w:sz w:val="24"/>
          <w:szCs w:val="24"/>
          <w:lang w:val="en-GB"/>
        </w:rPr>
        <w:t>of the MAFR and pursuant to the memo prepared by the Process Working Group published online at</w:t>
      </w:r>
      <w:r w:rsidR="00063A27" w:rsidRPr="006663E2">
        <w:rPr>
          <w:rFonts w:ascii="Times New Roman" w:eastAsia="Calibri" w:hAnsi="Times New Roman" w:cs="Times New Roman"/>
          <w:sz w:val="24"/>
          <w:szCs w:val="24"/>
          <w:lang w:val="en-GB"/>
        </w:rPr>
        <w:t xml:space="preserve"> </w:t>
      </w:r>
      <w:hyperlink r:id="rId17" w:history="1">
        <w:r w:rsidR="00063A27" w:rsidRPr="006663E2">
          <w:rPr>
            <w:rFonts w:ascii="Times New Roman" w:eastAsia="Calibri" w:hAnsi="Times New Roman" w:cs="Times New Roman"/>
            <w:sz w:val="24"/>
            <w:szCs w:val="24"/>
            <w:u w:val="single"/>
            <w:lang w:val="en-GB"/>
          </w:rPr>
          <w:t>www.cpva.lt</w:t>
        </w:r>
      </w:hyperlink>
      <w:r w:rsidR="00063A27" w:rsidRPr="006663E2">
        <w:rPr>
          <w:rFonts w:ascii="Times New Roman" w:eastAsia="Calibri" w:hAnsi="Times New Roman" w:cs="Times New Roman"/>
          <w:sz w:val="24"/>
          <w:szCs w:val="24"/>
          <w:lang w:val="en-GB"/>
        </w:rPr>
        <w:t xml:space="preserve"> (</w:t>
      </w:r>
      <w:r w:rsidRPr="006663E2">
        <w:rPr>
          <w:rFonts w:ascii="Times New Roman" w:eastAsia="Calibri" w:hAnsi="Times New Roman" w:cs="Times New Roman"/>
          <w:sz w:val="24"/>
          <w:szCs w:val="24"/>
          <w:lang w:val="en-GB"/>
        </w:rPr>
        <w:t>for the current memo edition and the forms see</w:t>
      </w:r>
      <w:r w:rsidR="00063A27" w:rsidRPr="006663E2">
        <w:rPr>
          <w:rFonts w:ascii="Times New Roman" w:eastAsia="Calibri" w:hAnsi="Times New Roman" w:cs="Times New Roman"/>
          <w:sz w:val="24"/>
          <w:szCs w:val="24"/>
          <w:lang w:val="en-GB"/>
        </w:rPr>
        <w:t>:</w:t>
      </w:r>
      <w:r w:rsidR="007B3410" w:rsidRPr="006663E2">
        <w:rPr>
          <w:rFonts w:ascii="Times New Roman" w:eastAsia="Calibri" w:hAnsi="Times New Roman" w:cs="Times New Roman"/>
          <w:sz w:val="24"/>
          <w:szCs w:val="24"/>
          <w:lang w:val="en-GB"/>
        </w:rPr>
        <w:t xml:space="preserve"> </w:t>
      </w:r>
      <w:hyperlink r:id="rId18" w:history="1">
        <w:r w:rsidR="00465308" w:rsidRPr="006663E2">
          <w:rPr>
            <w:rStyle w:val="Hyperlink"/>
            <w:rFonts w:ascii="Times New Roman" w:eastAsia="Calibri" w:hAnsi="Times New Roman" w:cs="Times New Roman"/>
            <w:color w:val="auto"/>
            <w:sz w:val="24"/>
            <w:szCs w:val="24"/>
            <w:lang w:val="en-GB"/>
          </w:rPr>
          <w:t>https://www.cpva.lt/eee-ir-norvegijos-finansiniai-mechanizmai-2014-2021-m./dokumentai/682/act690?sqid=994b3627fada2d63b94793688db3b709c08413e2</w:t>
        </w:r>
      </w:hyperlink>
      <w:r w:rsidR="00465308" w:rsidRPr="006663E2">
        <w:rPr>
          <w:rFonts w:ascii="Times New Roman" w:eastAsia="Calibri" w:hAnsi="Times New Roman" w:cs="Times New Roman"/>
          <w:sz w:val="24"/>
          <w:szCs w:val="24"/>
          <w:lang w:val="en-GB"/>
        </w:rPr>
        <w:t>)</w:t>
      </w:r>
      <w:r w:rsidR="00063A27" w:rsidRPr="006663E2">
        <w:rPr>
          <w:rFonts w:ascii="Times New Roman" w:eastAsia="Calibri" w:hAnsi="Times New Roman" w:cs="Times New Roman"/>
          <w:sz w:val="24"/>
          <w:szCs w:val="24"/>
          <w:lang w:val="en-GB"/>
        </w:rPr>
        <w:t xml:space="preserve">. </w:t>
      </w:r>
    </w:p>
    <w:p w14:paraId="0AEA80A4" w14:textId="77777777" w:rsidR="00063A27" w:rsidRPr="006663E2" w:rsidRDefault="00063A27" w:rsidP="00C540E2">
      <w:pPr>
        <w:pStyle w:val="ListParagraph"/>
        <w:spacing w:after="120" w:line="240" w:lineRule="auto"/>
        <w:ind w:left="1080"/>
        <w:jc w:val="both"/>
        <w:rPr>
          <w:rFonts w:ascii="Times New Roman" w:hAnsi="Times New Roman" w:cs="Times New Roman"/>
          <w:b/>
          <w:bCs/>
          <w:sz w:val="24"/>
          <w:szCs w:val="24"/>
          <w:lang w:val="en-GB"/>
        </w:rPr>
      </w:pPr>
    </w:p>
    <w:p w14:paraId="10DDAAF5" w14:textId="15A5D0BC" w:rsidR="00D737B5" w:rsidRPr="006663E2" w:rsidRDefault="002B3D48" w:rsidP="00C540E2">
      <w:pPr>
        <w:pStyle w:val="ListParagraph"/>
        <w:numPr>
          <w:ilvl w:val="0"/>
          <w:numId w:val="1"/>
        </w:numPr>
        <w:spacing w:after="120" w:line="240" w:lineRule="auto"/>
        <w:jc w:val="center"/>
        <w:rPr>
          <w:rFonts w:ascii="Times New Roman" w:hAnsi="Times New Roman" w:cs="Times New Roman"/>
          <w:b/>
          <w:bCs/>
          <w:caps/>
          <w:sz w:val="24"/>
          <w:szCs w:val="24"/>
          <w:lang w:val="en-GB"/>
        </w:rPr>
      </w:pPr>
      <w:r w:rsidRPr="006663E2">
        <w:rPr>
          <w:rFonts w:ascii="Times New Roman" w:hAnsi="Times New Roman" w:cs="Times New Roman"/>
          <w:b/>
          <w:bCs/>
          <w:caps/>
          <w:sz w:val="24"/>
          <w:szCs w:val="24"/>
          <w:lang w:val="en-GB"/>
        </w:rPr>
        <w:t>P</w:t>
      </w:r>
      <w:r w:rsidR="00047308" w:rsidRPr="006663E2">
        <w:rPr>
          <w:rFonts w:ascii="Times New Roman" w:hAnsi="Times New Roman" w:cs="Times New Roman"/>
          <w:b/>
          <w:bCs/>
          <w:caps/>
          <w:sz w:val="24"/>
          <w:szCs w:val="24"/>
          <w:lang w:val="en-GB"/>
        </w:rPr>
        <w:t>reparation, acceptance of applications, evaluation and selection of projects</w:t>
      </w:r>
    </w:p>
    <w:p w14:paraId="6541D159" w14:textId="77777777" w:rsidR="004010C9" w:rsidRPr="006663E2" w:rsidRDefault="004010C9" w:rsidP="00C540E2">
      <w:pPr>
        <w:pStyle w:val="ListParagraph"/>
        <w:spacing w:after="120" w:line="240" w:lineRule="auto"/>
        <w:ind w:left="1080"/>
        <w:jc w:val="both"/>
        <w:rPr>
          <w:rFonts w:ascii="Times New Roman" w:hAnsi="Times New Roman" w:cs="Times New Roman"/>
          <w:b/>
          <w:bCs/>
          <w:sz w:val="24"/>
          <w:szCs w:val="24"/>
          <w:lang w:val="en-GB"/>
        </w:rPr>
      </w:pPr>
    </w:p>
    <w:p w14:paraId="6B15C5EF" w14:textId="462DDE5B" w:rsidR="00051241" w:rsidRPr="006663E2" w:rsidRDefault="00047308"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bookmarkStart w:id="10" w:name="_Hlk18088966"/>
      <w:r w:rsidRPr="006663E2">
        <w:rPr>
          <w:rFonts w:ascii="Times New Roman" w:eastAsia="Calibri" w:hAnsi="Times New Roman" w:cs="Times New Roman"/>
          <w:sz w:val="24"/>
          <w:szCs w:val="24"/>
          <w:lang w:val="en-GB"/>
        </w:rPr>
        <w:t>Mechanism and co-financing funds for projects under this open call shall be allocated by way of a</w:t>
      </w:r>
      <w:r w:rsidR="003F5ACC" w:rsidRPr="006663E2">
        <w:rPr>
          <w:rFonts w:ascii="Times New Roman" w:eastAsia="Calibri" w:hAnsi="Times New Roman" w:cs="Times New Roman"/>
          <w:sz w:val="24"/>
          <w:szCs w:val="24"/>
          <w:lang w:val="en-GB"/>
        </w:rPr>
        <w:t>n open</w:t>
      </w:r>
      <w:r w:rsidRPr="006663E2">
        <w:rPr>
          <w:rFonts w:ascii="Times New Roman" w:eastAsia="Calibri" w:hAnsi="Times New Roman" w:cs="Times New Roman"/>
          <w:sz w:val="24"/>
          <w:szCs w:val="24"/>
          <w:lang w:val="en-GB"/>
        </w:rPr>
        <w:t xml:space="preserve"> </w:t>
      </w:r>
      <w:r w:rsidR="003F5ACC" w:rsidRPr="006663E2">
        <w:rPr>
          <w:rFonts w:ascii="Times New Roman" w:eastAsia="Calibri" w:hAnsi="Times New Roman" w:cs="Times New Roman"/>
          <w:sz w:val="24"/>
          <w:szCs w:val="24"/>
          <w:lang w:val="en-GB"/>
        </w:rPr>
        <w:t>call for applications</w:t>
      </w:r>
      <w:r w:rsidR="00E871F1" w:rsidRPr="006663E2">
        <w:rPr>
          <w:rFonts w:ascii="Times New Roman" w:eastAsia="Calibri" w:hAnsi="Times New Roman" w:cs="Times New Roman"/>
          <w:sz w:val="24"/>
          <w:szCs w:val="24"/>
          <w:lang w:val="en-GB"/>
        </w:rPr>
        <w:t xml:space="preserve">. </w:t>
      </w:r>
    </w:p>
    <w:p w14:paraId="55D9F1CD" w14:textId="5E693A09" w:rsidR="002C13C6" w:rsidRPr="006663E2" w:rsidRDefault="00047308"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An open call is published online at</w:t>
      </w:r>
      <w:r w:rsidR="00E871F1" w:rsidRPr="006663E2">
        <w:rPr>
          <w:rFonts w:ascii="Times New Roman" w:eastAsia="Calibri" w:hAnsi="Times New Roman" w:cs="Times New Roman"/>
          <w:sz w:val="24"/>
          <w:szCs w:val="24"/>
          <w:lang w:val="en-GB"/>
        </w:rPr>
        <w:t xml:space="preserve"> </w:t>
      </w:r>
      <w:hyperlink r:id="rId19" w:history="1">
        <w:r w:rsidR="00E871F1" w:rsidRPr="006663E2">
          <w:rPr>
            <w:rFonts w:ascii="Times New Roman" w:eastAsia="Calibri" w:hAnsi="Times New Roman" w:cs="Times New Roman"/>
            <w:sz w:val="24"/>
            <w:szCs w:val="24"/>
            <w:lang w:val="en-GB"/>
          </w:rPr>
          <w:t>www.eeagrants.lt</w:t>
        </w:r>
      </w:hyperlink>
      <w:r w:rsidR="0042195D" w:rsidRPr="006663E2">
        <w:rPr>
          <w:rFonts w:ascii="Times New Roman" w:eastAsia="Calibri" w:hAnsi="Times New Roman" w:cs="Times New Roman"/>
          <w:sz w:val="24"/>
          <w:szCs w:val="24"/>
          <w:lang w:val="en-GB"/>
        </w:rPr>
        <w:t xml:space="preserve"> </w:t>
      </w:r>
      <w:r w:rsidRPr="006663E2">
        <w:rPr>
          <w:rFonts w:ascii="Times New Roman" w:eastAsia="Calibri" w:hAnsi="Times New Roman" w:cs="Times New Roman"/>
          <w:sz w:val="24"/>
          <w:szCs w:val="24"/>
          <w:lang w:val="en-GB"/>
        </w:rPr>
        <w:t>and</w:t>
      </w:r>
      <w:r w:rsidR="001E59D8" w:rsidRPr="006663E2">
        <w:rPr>
          <w:rFonts w:ascii="Times New Roman" w:eastAsia="Calibri" w:hAnsi="Times New Roman" w:cs="Times New Roman"/>
          <w:sz w:val="24"/>
          <w:szCs w:val="24"/>
          <w:lang w:val="en-GB"/>
        </w:rPr>
        <w:t xml:space="preserve"> </w:t>
      </w:r>
      <w:hyperlink r:id="rId20" w:history="1">
        <w:r w:rsidR="001E59D8" w:rsidRPr="006663E2">
          <w:rPr>
            <w:rFonts w:ascii="Times New Roman" w:eastAsia="Calibri" w:hAnsi="Times New Roman" w:cs="Times New Roman"/>
            <w:sz w:val="24"/>
            <w:szCs w:val="24"/>
            <w:lang w:val="en-GB"/>
          </w:rPr>
          <w:t>www.cpva.lt</w:t>
        </w:r>
      </w:hyperlink>
      <w:r w:rsidR="001E59D8" w:rsidRPr="006663E2">
        <w:rPr>
          <w:rFonts w:ascii="Times New Roman" w:eastAsia="Calibri" w:hAnsi="Times New Roman" w:cs="Times New Roman"/>
          <w:sz w:val="24"/>
          <w:szCs w:val="24"/>
          <w:lang w:val="en-GB"/>
        </w:rPr>
        <w:t xml:space="preserve">. </w:t>
      </w:r>
    </w:p>
    <w:p w14:paraId="7818D8D5" w14:textId="22670765" w:rsidR="002C13C6" w:rsidRPr="006663E2" w:rsidRDefault="00047308"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bookmarkStart w:id="11" w:name="_Hlk18089141"/>
      <w:bookmarkEnd w:id="10"/>
      <w:r w:rsidRPr="006663E2">
        <w:rPr>
          <w:rFonts w:ascii="Times New Roman" w:eastAsia="Calibri" w:hAnsi="Times New Roman" w:cs="Times New Roman"/>
          <w:sz w:val="24"/>
          <w:szCs w:val="24"/>
          <w:lang w:val="en-GB"/>
        </w:rPr>
        <w:t xml:space="preserve">In order to receive financing, the </w:t>
      </w:r>
      <w:r w:rsidR="0042195D"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 xml:space="preserve">pplicant shall </w:t>
      </w:r>
      <w:r w:rsidR="006F3E0F" w:rsidRPr="006663E2">
        <w:rPr>
          <w:rFonts w:ascii="Times New Roman" w:eastAsia="Calibri" w:hAnsi="Times New Roman" w:cs="Times New Roman"/>
          <w:sz w:val="24"/>
          <w:szCs w:val="24"/>
          <w:lang w:val="en-GB"/>
        </w:rPr>
        <w:t>online via the DMS</w:t>
      </w:r>
      <w:r w:rsidR="006F3E0F" w:rsidRPr="006663E2" w:rsidDel="006F3E0F">
        <w:rPr>
          <w:rFonts w:ascii="Times New Roman" w:eastAsia="Calibri" w:hAnsi="Times New Roman" w:cs="Times New Roman"/>
          <w:sz w:val="24"/>
          <w:szCs w:val="24"/>
          <w:lang w:val="en-GB"/>
        </w:rPr>
        <w:t xml:space="preserve"> </w:t>
      </w:r>
      <w:r w:rsidR="006F3E0F" w:rsidRPr="006663E2">
        <w:rPr>
          <w:rFonts w:ascii="Times New Roman" w:eastAsia="Calibri" w:hAnsi="Times New Roman" w:cs="Times New Roman"/>
          <w:sz w:val="24"/>
          <w:szCs w:val="24"/>
          <w:lang w:val="en-GB"/>
        </w:rPr>
        <w:t xml:space="preserve">fill in </w:t>
      </w:r>
      <w:r w:rsidRPr="006663E2">
        <w:rPr>
          <w:rFonts w:ascii="Times New Roman" w:eastAsia="Calibri" w:hAnsi="Times New Roman" w:cs="Times New Roman"/>
          <w:sz w:val="24"/>
          <w:szCs w:val="24"/>
          <w:lang w:val="en-GB"/>
        </w:rPr>
        <w:t>an application</w:t>
      </w:r>
      <w:r w:rsidR="006F3E0F" w:rsidRPr="006663E2">
        <w:rPr>
          <w:rFonts w:ascii="Times New Roman" w:eastAsia="Calibri" w:hAnsi="Times New Roman" w:cs="Times New Roman"/>
          <w:sz w:val="24"/>
          <w:szCs w:val="24"/>
          <w:lang w:val="en-GB"/>
        </w:rPr>
        <w:t>,</w:t>
      </w:r>
      <w:r w:rsidRPr="006663E2">
        <w:rPr>
          <w:rFonts w:ascii="Times New Roman" w:eastAsia="Calibri" w:hAnsi="Times New Roman" w:cs="Times New Roman"/>
          <w:sz w:val="24"/>
          <w:szCs w:val="24"/>
          <w:lang w:val="en-GB"/>
        </w:rPr>
        <w:t xml:space="preserve"> </w:t>
      </w:r>
      <w:r w:rsidR="006F3E0F" w:rsidRPr="006663E2">
        <w:rPr>
          <w:rFonts w:ascii="Times New Roman" w:eastAsia="Calibri" w:hAnsi="Times New Roman" w:cs="Times New Roman"/>
          <w:sz w:val="24"/>
          <w:szCs w:val="24"/>
          <w:lang w:val="en-GB"/>
        </w:rPr>
        <w:t>d</w:t>
      </w:r>
      <w:r w:rsidRPr="006663E2">
        <w:rPr>
          <w:rFonts w:ascii="Times New Roman" w:eastAsia="Calibri" w:hAnsi="Times New Roman" w:cs="Times New Roman"/>
          <w:sz w:val="24"/>
          <w:szCs w:val="24"/>
          <w:lang w:val="en-GB"/>
        </w:rPr>
        <w:t xml:space="preserve">rafted by the Process Working Group (a typical form is available in Annex </w:t>
      </w:r>
      <w:r w:rsidR="006C22D8" w:rsidRPr="006663E2">
        <w:rPr>
          <w:rFonts w:ascii="Times New Roman" w:eastAsia="Calibri" w:hAnsi="Times New Roman" w:cs="Times New Roman"/>
          <w:sz w:val="24"/>
          <w:szCs w:val="24"/>
          <w:lang w:val="en-GB"/>
        </w:rPr>
        <w:t>2</w:t>
      </w:r>
      <w:r w:rsidRPr="006663E2">
        <w:rPr>
          <w:rFonts w:ascii="Times New Roman" w:eastAsia="Calibri" w:hAnsi="Times New Roman" w:cs="Times New Roman"/>
          <w:sz w:val="24"/>
          <w:szCs w:val="24"/>
          <w:lang w:val="en-GB"/>
        </w:rPr>
        <w:t xml:space="preserve"> to these Guidelines), </w:t>
      </w:r>
      <w:r w:rsidR="006F3E0F" w:rsidRPr="006663E2">
        <w:rPr>
          <w:rFonts w:ascii="Times New Roman" w:eastAsia="Calibri" w:hAnsi="Times New Roman" w:cs="Times New Roman"/>
          <w:sz w:val="24"/>
          <w:szCs w:val="24"/>
          <w:lang w:val="en-GB"/>
        </w:rPr>
        <w:t xml:space="preserve">and together with annexes submit it </w:t>
      </w:r>
      <w:r w:rsidRPr="006663E2">
        <w:rPr>
          <w:rFonts w:ascii="Times New Roman" w:eastAsia="Calibri" w:hAnsi="Times New Roman" w:cs="Times New Roman"/>
          <w:sz w:val="24"/>
          <w:szCs w:val="24"/>
          <w:lang w:val="en-GB"/>
        </w:rPr>
        <w:t>via the DMS by the date specified in the call for applications</w:t>
      </w:r>
      <w:r w:rsidR="00C112A3" w:rsidRPr="006663E2">
        <w:rPr>
          <w:rFonts w:ascii="Times New Roman" w:eastAsia="Calibri" w:hAnsi="Times New Roman" w:cs="Times New Roman"/>
          <w:sz w:val="24"/>
          <w:szCs w:val="24"/>
          <w:lang w:val="en-GB"/>
        </w:rPr>
        <w:t>.</w:t>
      </w:r>
      <w:r w:rsidR="001E59D8" w:rsidRPr="006663E2">
        <w:rPr>
          <w:rFonts w:ascii="Times New Roman" w:eastAsia="Calibri" w:hAnsi="Times New Roman" w:cs="Times New Roman"/>
          <w:sz w:val="24"/>
          <w:szCs w:val="24"/>
          <w:lang w:val="en-GB"/>
        </w:rPr>
        <w:t xml:space="preserve"> </w:t>
      </w:r>
      <w:r w:rsidR="00667EF9" w:rsidRPr="006663E2">
        <w:rPr>
          <w:rFonts w:ascii="Times New Roman" w:eastAsia="Calibri" w:hAnsi="Times New Roman" w:cs="Times New Roman"/>
          <w:sz w:val="24"/>
          <w:szCs w:val="24"/>
          <w:lang w:val="en-GB"/>
        </w:rPr>
        <w:t xml:space="preserve">After submitting the application, the applicant shall immediately be sent a confirmation via the DMS of the registration of the application stating the unique code assigned to the application. If the DMS functionality is not guaranteed, the applicant will be informed </w:t>
      </w:r>
      <w:r w:rsidR="00A0709C" w:rsidRPr="006663E2">
        <w:rPr>
          <w:rFonts w:ascii="Times New Roman" w:eastAsia="Calibri" w:hAnsi="Times New Roman" w:cs="Times New Roman"/>
          <w:sz w:val="24"/>
          <w:szCs w:val="24"/>
          <w:lang w:val="en-GB"/>
        </w:rPr>
        <w:t xml:space="preserve">about the registration of the application and </w:t>
      </w:r>
      <w:r w:rsidR="00667EF9" w:rsidRPr="006663E2">
        <w:rPr>
          <w:rFonts w:ascii="Times New Roman" w:eastAsia="Calibri" w:hAnsi="Times New Roman" w:cs="Times New Roman"/>
          <w:sz w:val="24"/>
          <w:szCs w:val="24"/>
          <w:lang w:val="en-GB"/>
        </w:rPr>
        <w:t>its unique code</w:t>
      </w:r>
      <w:r w:rsidR="00A0709C" w:rsidRPr="006663E2">
        <w:rPr>
          <w:rFonts w:ascii="Times New Roman" w:eastAsia="Calibri" w:hAnsi="Times New Roman" w:cs="Times New Roman"/>
          <w:sz w:val="24"/>
          <w:szCs w:val="24"/>
          <w:lang w:val="en-GB"/>
        </w:rPr>
        <w:t xml:space="preserve"> in written</w:t>
      </w:r>
      <w:r w:rsidR="00667EF9" w:rsidRPr="006663E2">
        <w:rPr>
          <w:rFonts w:ascii="Times New Roman" w:eastAsia="Calibri" w:hAnsi="Times New Roman" w:cs="Times New Roman"/>
          <w:sz w:val="24"/>
          <w:szCs w:val="24"/>
          <w:lang w:val="en-GB"/>
        </w:rPr>
        <w:t xml:space="preserve">, </w:t>
      </w:r>
      <w:r w:rsidR="00A0709C" w:rsidRPr="006663E2">
        <w:rPr>
          <w:rFonts w:ascii="Times New Roman" w:eastAsia="Calibri" w:hAnsi="Times New Roman" w:cs="Times New Roman"/>
          <w:sz w:val="24"/>
          <w:szCs w:val="24"/>
          <w:lang w:val="en-GB"/>
        </w:rPr>
        <w:t xml:space="preserve">by </w:t>
      </w:r>
      <w:r w:rsidR="00667EF9" w:rsidRPr="006663E2">
        <w:rPr>
          <w:rFonts w:ascii="Times New Roman" w:eastAsia="Calibri" w:hAnsi="Times New Roman" w:cs="Times New Roman"/>
          <w:sz w:val="24"/>
          <w:szCs w:val="24"/>
          <w:lang w:val="en-GB"/>
        </w:rPr>
        <w:t>sen</w:t>
      </w:r>
      <w:r w:rsidR="00A0709C" w:rsidRPr="006663E2">
        <w:rPr>
          <w:rFonts w:ascii="Times New Roman" w:eastAsia="Calibri" w:hAnsi="Times New Roman" w:cs="Times New Roman"/>
          <w:sz w:val="24"/>
          <w:szCs w:val="24"/>
          <w:lang w:val="en-GB"/>
        </w:rPr>
        <w:t>ding information</w:t>
      </w:r>
      <w:r w:rsidR="00667EF9" w:rsidRPr="006663E2">
        <w:rPr>
          <w:rFonts w:ascii="Times New Roman" w:eastAsia="Calibri" w:hAnsi="Times New Roman" w:cs="Times New Roman"/>
          <w:sz w:val="24"/>
          <w:szCs w:val="24"/>
          <w:lang w:val="en-GB"/>
        </w:rPr>
        <w:t xml:space="preserve"> to the email address </w:t>
      </w:r>
      <w:r w:rsidR="00A0709C" w:rsidRPr="006663E2">
        <w:rPr>
          <w:rFonts w:ascii="Times New Roman" w:eastAsia="Calibri" w:hAnsi="Times New Roman" w:cs="Times New Roman"/>
          <w:sz w:val="24"/>
          <w:szCs w:val="24"/>
          <w:lang w:val="en-GB"/>
        </w:rPr>
        <w:t>of the indicated contact person.</w:t>
      </w:r>
    </w:p>
    <w:p w14:paraId="722B5B97" w14:textId="1EEFAA59" w:rsidR="0040653B" w:rsidRPr="006663E2" w:rsidRDefault="00A910AD"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Applications submitted by other than DMS </w:t>
      </w:r>
      <w:r w:rsidR="0042195D" w:rsidRPr="006663E2">
        <w:rPr>
          <w:rFonts w:ascii="Times New Roman" w:eastAsia="Calibri" w:hAnsi="Times New Roman" w:cs="Times New Roman"/>
          <w:sz w:val="24"/>
          <w:szCs w:val="24"/>
          <w:lang w:val="en-GB"/>
        </w:rPr>
        <w:t>means</w:t>
      </w:r>
      <w:r w:rsidRPr="006663E2">
        <w:rPr>
          <w:rFonts w:ascii="Times New Roman" w:eastAsia="Calibri" w:hAnsi="Times New Roman" w:cs="Times New Roman"/>
          <w:sz w:val="24"/>
          <w:szCs w:val="24"/>
          <w:lang w:val="en-GB"/>
        </w:rPr>
        <w:t xml:space="preserve"> and measures shall not be accepted and shall be returned to </w:t>
      </w:r>
      <w:r w:rsidR="0042195D"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 xml:space="preserve">pplicant. In case of a temporary failure to ensure DMS functionalities, which makes it impossible for </w:t>
      </w:r>
      <w:r w:rsidR="0042195D"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 xml:space="preserve">pplicants to submit applications or annexes thereto on the deadline for the submission of applications, the CPMA shall extend the deadline for the submission of applications for 7 days and/or create the opportunity to submit applications or annexes thereto </w:t>
      </w:r>
      <w:r w:rsidR="0042195D" w:rsidRPr="006663E2">
        <w:rPr>
          <w:rFonts w:ascii="Times New Roman" w:eastAsia="Calibri" w:hAnsi="Times New Roman" w:cs="Times New Roman"/>
          <w:sz w:val="24"/>
          <w:szCs w:val="24"/>
          <w:lang w:val="en-GB"/>
        </w:rPr>
        <w:t>by other means</w:t>
      </w:r>
      <w:r w:rsidRPr="006663E2">
        <w:rPr>
          <w:rFonts w:ascii="Times New Roman" w:eastAsia="Calibri" w:hAnsi="Times New Roman" w:cs="Times New Roman"/>
          <w:sz w:val="24"/>
          <w:szCs w:val="24"/>
          <w:lang w:val="en-GB"/>
        </w:rPr>
        <w:t xml:space="preserve">, informing </w:t>
      </w:r>
      <w:r w:rsidR="002336C5"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pplicants thereof via DMS or in writing, if DMS functions have not been installed or are not ensured</w:t>
      </w:r>
      <w:r w:rsidR="0040653B" w:rsidRPr="006663E2">
        <w:rPr>
          <w:rFonts w:ascii="Times New Roman" w:eastAsia="Calibri" w:hAnsi="Times New Roman" w:cs="Times New Roman"/>
          <w:sz w:val="24"/>
          <w:szCs w:val="24"/>
          <w:lang w:val="en-GB"/>
        </w:rPr>
        <w:t>.</w:t>
      </w:r>
    </w:p>
    <w:p w14:paraId="387B233B" w14:textId="62E78763" w:rsidR="002C13C6" w:rsidRPr="006663E2" w:rsidRDefault="00A910AD"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The </w:t>
      </w:r>
      <w:r w:rsidR="002336C5"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 xml:space="preserve">pplicant may ask questions regarding the conditions of allocation of financing, also questions relating to the </w:t>
      </w:r>
      <w:r w:rsidR="008C4098" w:rsidRPr="006663E2">
        <w:rPr>
          <w:rFonts w:ascii="Times New Roman" w:eastAsia="Calibri" w:hAnsi="Times New Roman" w:cs="Times New Roman"/>
          <w:sz w:val="24"/>
          <w:szCs w:val="24"/>
          <w:lang w:val="en-GB"/>
        </w:rPr>
        <w:t xml:space="preserve">filling </w:t>
      </w:r>
      <w:r w:rsidRPr="006663E2">
        <w:rPr>
          <w:rFonts w:ascii="Times New Roman" w:eastAsia="Calibri" w:hAnsi="Times New Roman" w:cs="Times New Roman"/>
          <w:sz w:val="24"/>
          <w:szCs w:val="24"/>
          <w:lang w:val="en-GB"/>
        </w:rPr>
        <w:t>of applications and other financing allocation-related questions by calling CPMA phone numbers indicated in the call, in writing, e-mail or verbally.</w:t>
      </w:r>
    </w:p>
    <w:p w14:paraId="4E886666" w14:textId="652CB809" w:rsidR="0040653B" w:rsidRPr="006663E2" w:rsidRDefault="00A910AD" w:rsidP="00C540E2">
      <w:pPr>
        <w:pStyle w:val="ListParagraph"/>
        <w:numPr>
          <w:ilvl w:val="0"/>
          <w:numId w:val="12"/>
        </w:numPr>
        <w:shd w:val="clear" w:color="auto" w:fill="FFFFFF"/>
        <w:spacing w:after="120" w:line="240" w:lineRule="auto"/>
        <w:jc w:val="both"/>
        <w:rPr>
          <w:rFonts w:ascii="Times New Roman" w:eastAsia="Calibri" w:hAnsi="Times New Roman" w:cs="Times New Roman"/>
          <w:sz w:val="24"/>
          <w:szCs w:val="24"/>
          <w:lang w:val="en-GB"/>
        </w:rPr>
      </w:pPr>
      <w:r w:rsidRPr="006663E2">
        <w:rPr>
          <w:rFonts w:ascii="Times New Roman" w:eastAsia="Calibri" w:hAnsi="Times New Roman" w:cs="Times New Roman"/>
          <w:sz w:val="24"/>
          <w:szCs w:val="24"/>
          <w:lang w:val="en-GB"/>
        </w:rPr>
        <w:t xml:space="preserve">The </w:t>
      </w:r>
      <w:r w:rsidR="002336C5" w:rsidRPr="006663E2">
        <w:rPr>
          <w:rFonts w:ascii="Times New Roman" w:eastAsia="Calibri" w:hAnsi="Times New Roman" w:cs="Times New Roman"/>
          <w:sz w:val="24"/>
          <w:szCs w:val="24"/>
          <w:lang w:val="en-GB"/>
        </w:rPr>
        <w:t>A</w:t>
      </w:r>
      <w:r w:rsidRPr="006663E2">
        <w:rPr>
          <w:rFonts w:ascii="Times New Roman" w:eastAsia="Calibri" w:hAnsi="Times New Roman" w:cs="Times New Roman"/>
          <w:sz w:val="24"/>
          <w:szCs w:val="24"/>
          <w:lang w:val="en-GB"/>
        </w:rPr>
        <w:t>pplicant shall submit the following annexes along with its application</w:t>
      </w:r>
      <w:r w:rsidR="0040653B" w:rsidRPr="006663E2">
        <w:rPr>
          <w:rFonts w:ascii="Times New Roman" w:eastAsia="Calibri" w:hAnsi="Times New Roman" w:cs="Times New Roman"/>
          <w:sz w:val="24"/>
          <w:szCs w:val="24"/>
          <w:lang w:val="en-GB"/>
        </w:rPr>
        <w:t>:</w:t>
      </w:r>
    </w:p>
    <w:p w14:paraId="1E0AE5D2" w14:textId="378C08CE" w:rsidR="00C65803" w:rsidRPr="006663E2" w:rsidRDefault="006A4DBC" w:rsidP="00C540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Documents </w:t>
      </w:r>
      <w:r w:rsidR="008C4098" w:rsidRPr="006663E2">
        <w:rPr>
          <w:rFonts w:ascii="Times New Roman" w:hAnsi="Times New Roman" w:cs="Times New Roman"/>
          <w:sz w:val="24"/>
          <w:szCs w:val="24"/>
          <w:lang w:val="en-GB"/>
        </w:rPr>
        <w:t xml:space="preserve">justifying </w:t>
      </w:r>
      <w:r w:rsidRPr="006663E2">
        <w:rPr>
          <w:rFonts w:ascii="Times New Roman" w:hAnsi="Times New Roman" w:cs="Times New Roman"/>
          <w:sz w:val="24"/>
          <w:szCs w:val="24"/>
          <w:lang w:val="en-GB"/>
        </w:rPr>
        <w:t xml:space="preserve">the validity of the project’s budget </w:t>
      </w:r>
      <w:r w:rsidR="00C65803" w:rsidRPr="006663E2">
        <w:rPr>
          <w:rFonts w:ascii="Times New Roman" w:hAnsi="Times New Roman" w:cs="Times New Roman"/>
          <w:sz w:val="24"/>
          <w:szCs w:val="24"/>
          <w:lang w:val="en-GB"/>
        </w:rPr>
        <w:t>(</w:t>
      </w:r>
      <w:r w:rsidRPr="006663E2">
        <w:rPr>
          <w:rFonts w:ascii="Times New Roman" w:hAnsi="Times New Roman" w:cs="Times New Roman"/>
          <w:sz w:val="24"/>
          <w:szCs w:val="24"/>
          <w:lang w:val="en-GB"/>
        </w:rPr>
        <w:t xml:space="preserve">in cases where costs will be incurred in holding (public) procurement procedures (except for costs, which will be declared </w:t>
      </w:r>
      <w:r w:rsidRPr="006663E2">
        <w:rPr>
          <w:rFonts w:ascii="Times New Roman" w:hAnsi="Times New Roman" w:cs="Times New Roman"/>
          <w:sz w:val="24"/>
          <w:szCs w:val="24"/>
          <w:lang w:val="en-GB"/>
        </w:rPr>
        <w:lastRenderedPageBreak/>
        <w:t xml:space="preserve">and compensated </w:t>
      </w:r>
      <w:r w:rsidR="008C4098" w:rsidRPr="006663E2">
        <w:rPr>
          <w:rFonts w:ascii="Times New Roman" w:hAnsi="Times New Roman" w:cs="Times New Roman"/>
          <w:sz w:val="24"/>
          <w:szCs w:val="24"/>
          <w:lang w:val="en-GB"/>
        </w:rPr>
        <w:t xml:space="preserve">on </w:t>
      </w:r>
      <w:r w:rsidRPr="006663E2">
        <w:rPr>
          <w:rFonts w:ascii="Times New Roman" w:hAnsi="Times New Roman" w:cs="Times New Roman"/>
          <w:sz w:val="24"/>
          <w:szCs w:val="24"/>
          <w:lang w:val="en-GB"/>
        </w:rPr>
        <w:t xml:space="preserve">a simplified </w:t>
      </w:r>
      <w:r w:rsidR="008C4098" w:rsidRPr="006663E2">
        <w:rPr>
          <w:rFonts w:ascii="Times New Roman" w:hAnsi="Times New Roman" w:cs="Times New Roman"/>
          <w:sz w:val="24"/>
          <w:szCs w:val="24"/>
          <w:lang w:val="en-GB"/>
        </w:rPr>
        <w:t>bases</w:t>
      </w:r>
      <w:r w:rsidR="00BE0417"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 xml:space="preserve">the planned costs shall be justified by </w:t>
      </w:r>
      <w:r w:rsidR="002336C5"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 conducted market research</w:t>
      </w:r>
      <w:r w:rsidR="00BE0417" w:rsidRPr="006663E2">
        <w:rPr>
          <w:rFonts w:ascii="Times New Roman" w:hAnsi="Times New Roman" w:cs="Times New Roman"/>
          <w:sz w:val="24"/>
          <w:szCs w:val="24"/>
          <w:lang w:val="en-GB"/>
        </w:rPr>
        <w:t>)</w:t>
      </w:r>
      <w:r w:rsidR="00F071C1" w:rsidRPr="006663E2">
        <w:rPr>
          <w:rFonts w:ascii="Times New Roman" w:hAnsi="Times New Roman" w:cs="Times New Roman"/>
          <w:sz w:val="24"/>
          <w:szCs w:val="24"/>
          <w:lang w:val="en-GB"/>
        </w:rPr>
        <w:t xml:space="preserve">; </w:t>
      </w:r>
    </w:p>
    <w:p w14:paraId="3806DC3C" w14:textId="77777777" w:rsidR="00936041" w:rsidRPr="006663E2" w:rsidRDefault="00967887" w:rsidP="00C540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A copy of </w:t>
      </w:r>
      <w:r w:rsidR="002336C5"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 draft partnership agreement in the content specified in </w:t>
      </w:r>
      <w:r w:rsidR="00C422E5" w:rsidRPr="006663E2">
        <w:rPr>
          <w:rFonts w:ascii="Times New Roman" w:hAnsi="Times New Roman" w:cs="Times New Roman"/>
          <w:sz w:val="24"/>
          <w:szCs w:val="24"/>
          <w:lang w:val="en-GB"/>
        </w:rPr>
        <w:t>these guidelines</w:t>
      </w:r>
      <w:r w:rsidRPr="006663E2">
        <w:rPr>
          <w:rFonts w:ascii="Times New Roman" w:hAnsi="Times New Roman" w:cs="Times New Roman"/>
          <w:sz w:val="24"/>
          <w:szCs w:val="24"/>
          <w:lang w:val="en-GB"/>
        </w:rPr>
        <w:t xml:space="preserve"> (if a partnership agreement has been signed before the submission of the application – a copy of a signed agreement) or a letter of intent to conclude such an agreement</w:t>
      </w:r>
      <w:r w:rsidR="00A0319A" w:rsidRPr="006663E2">
        <w:rPr>
          <w:rFonts w:ascii="Times New Roman" w:hAnsi="Times New Roman" w:cs="Times New Roman"/>
          <w:sz w:val="24"/>
          <w:szCs w:val="24"/>
          <w:lang w:val="en-GB"/>
        </w:rPr>
        <w:t>;</w:t>
      </w:r>
    </w:p>
    <w:p w14:paraId="339667D5" w14:textId="77777777" w:rsidR="008E1CE2" w:rsidRPr="006663E2" w:rsidRDefault="00C422E5" w:rsidP="008E1C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Justification of calculation of indirect project costs;</w:t>
      </w:r>
    </w:p>
    <w:p w14:paraId="2449E157" w14:textId="140161C2" w:rsidR="00A87796" w:rsidRPr="006663E2" w:rsidRDefault="008E1CE2" w:rsidP="008E1CE2">
      <w:pPr>
        <w:pStyle w:val="ListParagraph"/>
        <w:numPr>
          <w:ilvl w:val="1"/>
          <w:numId w:val="12"/>
        </w:numPr>
        <w:spacing w:after="120" w:line="240" w:lineRule="auto"/>
        <w:ind w:left="1134" w:hanging="774"/>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Methodology / Assistance Mechanism and Working Model Description Form (Annex 1 to the Guidelines) (if applicable</w:t>
      </w:r>
      <w:r w:rsidR="00A87796" w:rsidRPr="006663E2">
        <w:rPr>
          <w:rFonts w:ascii="Times New Roman" w:hAnsi="Times New Roman" w:cs="Times New Roman"/>
          <w:sz w:val="24"/>
          <w:szCs w:val="24"/>
          <w:lang w:val="en-GB"/>
        </w:rPr>
        <w:t>).</w:t>
      </w:r>
    </w:p>
    <w:p w14:paraId="4255A47B" w14:textId="0715D269" w:rsidR="002C13C6" w:rsidRPr="006663E2" w:rsidRDefault="00EE6379"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CPMA shall arrange the evaluation of applications </w:t>
      </w:r>
      <w:r w:rsidR="00475CCB" w:rsidRPr="006663E2">
        <w:rPr>
          <w:rFonts w:ascii="Times New Roman" w:hAnsi="Times New Roman" w:cs="Times New Roman"/>
          <w:sz w:val="24"/>
          <w:szCs w:val="24"/>
          <w:lang w:val="en-GB"/>
        </w:rPr>
        <w:t>following</w:t>
      </w:r>
      <w:r w:rsidRPr="006663E2">
        <w:rPr>
          <w:rFonts w:ascii="Times New Roman" w:hAnsi="Times New Roman" w:cs="Times New Roman"/>
          <w:sz w:val="24"/>
          <w:szCs w:val="24"/>
          <w:lang w:val="en-GB"/>
        </w:rPr>
        <w:t xml:space="preserve"> the provision</w:t>
      </w:r>
      <w:r w:rsidR="00E63496" w:rsidRPr="006663E2">
        <w:rPr>
          <w:rFonts w:ascii="Times New Roman" w:hAnsi="Times New Roman" w:cs="Times New Roman"/>
          <w:sz w:val="24"/>
          <w:szCs w:val="24"/>
          <w:lang w:val="en-GB"/>
        </w:rPr>
        <w:t>s</w:t>
      </w:r>
      <w:r w:rsidRPr="006663E2">
        <w:rPr>
          <w:rFonts w:ascii="Times New Roman" w:hAnsi="Times New Roman" w:cs="Times New Roman"/>
          <w:sz w:val="24"/>
          <w:szCs w:val="24"/>
          <w:lang w:val="en-GB"/>
        </w:rPr>
        <w:t xml:space="preserve"> of Chapter XVI</w:t>
      </w:r>
      <w:r w:rsidR="00475CCB" w:rsidRPr="006663E2">
        <w:rPr>
          <w:rFonts w:ascii="Times New Roman" w:hAnsi="Times New Roman" w:cs="Times New Roman"/>
          <w:sz w:val="24"/>
          <w:szCs w:val="24"/>
          <w:lang w:val="en-GB"/>
        </w:rPr>
        <w:t>I</w:t>
      </w:r>
      <w:r w:rsidRPr="006663E2">
        <w:rPr>
          <w:rFonts w:ascii="Times New Roman" w:hAnsi="Times New Roman" w:cs="Times New Roman"/>
          <w:sz w:val="24"/>
          <w:szCs w:val="24"/>
          <w:lang w:val="en-GB"/>
        </w:rPr>
        <w:t xml:space="preserve"> of the MAFR. The evaluation shall be done by evaluators completing evaluation tables in the forms presented in Annexes </w:t>
      </w:r>
      <w:r w:rsidR="00C422E5" w:rsidRPr="006663E2">
        <w:rPr>
          <w:rFonts w:ascii="Times New Roman" w:hAnsi="Times New Roman" w:cs="Times New Roman"/>
          <w:sz w:val="24"/>
          <w:szCs w:val="24"/>
          <w:lang w:val="en-GB"/>
        </w:rPr>
        <w:t>3</w:t>
      </w:r>
      <w:r w:rsidRPr="006663E2">
        <w:rPr>
          <w:rFonts w:ascii="Times New Roman" w:hAnsi="Times New Roman" w:cs="Times New Roman"/>
          <w:sz w:val="24"/>
          <w:szCs w:val="24"/>
          <w:lang w:val="en-GB"/>
        </w:rPr>
        <w:t xml:space="preserve">, </w:t>
      </w:r>
      <w:r w:rsidR="00C422E5" w:rsidRPr="006663E2">
        <w:rPr>
          <w:rFonts w:ascii="Times New Roman" w:hAnsi="Times New Roman" w:cs="Times New Roman"/>
          <w:sz w:val="24"/>
          <w:szCs w:val="24"/>
          <w:lang w:val="en-GB"/>
        </w:rPr>
        <w:t>4</w:t>
      </w:r>
      <w:r w:rsidRPr="006663E2">
        <w:rPr>
          <w:rFonts w:ascii="Times New Roman" w:hAnsi="Times New Roman" w:cs="Times New Roman"/>
          <w:sz w:val="24"/>
          <w:szCs w:val="24"/>
          <w:lang w:val="en-GB"/>
        </w:rPr>
        <w:t xml:space="preserve"> and </w:t>
      </w:r>
      <w:r w:rsidR="00C422E5" w:rsidRPr="006663E2">
        <w:rPr>
          <w:rFonts w:ascii="Times New Roman" w:hAnsi="Times New Roman" w:cs="Times New Roman"/>
          <w:sz w:val="24"/>
          <w:szCs w:val="24"/>
          <w:lang w:val="en-GB"/>
        </w:rPr>
        <w:t>5</w:t>
      </w:r>
      <w:r w:rsidRPr="006663E2">
        <w:rPr>
          <w:rFonts w:ascii="Times New Roman" w:hAnsi="Times New Roman" w:cs="Times New Roman"/>
          <w:sz w:val="24"/>
          <w:szCs w:val="24"/>
          <w:lang w:val="en-GB"/>
        </w:rPr>
        <w:t xml:space="preserve"> to the Guidelines</w:t>
      </w:r>
      <w:r w:rsidR="002C13C6" w:rsidRPr="006663E2">
        <w:rPr>
          <w:rFonts w:ascii="Times New Roman" w:hAnsi="Times New Roman" w:cs="Times New Roman"/>
          <w:sz w:val="24"/>
          <w:szCs w:val="24"/>
          <w:lang w:val="en-GB"/>
        </w:rPr>
        <w:t>.</w:t>
      </w:r>
    </w:p>
    <w:p w14:paraId="791586B8" w14:textId="4B3DA3EF" w:rsidR="00BE2D50" w:rsidRPr="006663E2" w:rsidRDefault="00EE6379"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At the time of the evaluation of applications, the CPMA may ask the </w:t>
      </w:r>
      <w:r w:rsidR="00E63496"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pplicant to submit the missing information and/ or documents. The </w:t>
      </w:r>
      <w:r w:rsidR="00E63496"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pplicant shall submit this information and/or documents within the deadline set by the CPMA</w:t>
      </w:r>
      <w:r w:rsidR="00002B9F" w:rsidRPr="006663E2">
        <w:rPr>
          <w:rFonts w:ascii="Times New Roman" w:hAnsi="Times New Roman" w:cs="Times New Roman"/>
          <w:sz w:val="24"/>
          <w:szCs w:val="24"/>
          <w:lang w:val="en-GB"/>
        </w:rPr>
        <w:t>, which should be at least 3 working days</w:t>
      </w:r>
      <w:r w:rsidRPr="006663E2">
        <w:rPr>
          <w:rFonts w:ascii="Times New Roman" w:hAnsi="Times New Roman" w:cs="Times New Roman"/>
          <w:sz w:val="24"/>
          <w:szCs w:val="24"/>
          <w:lang w:val="en-GB"/>
        </w:rPr>
        <w:t xml:space="preserve">. The CPMA and the </w:t>
      </w:r>
      <w:r w:rsidR="00E63496"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pplicant shall correspond via DMS in the course of the evaluation</w:t>
      </w:r>
      <w:r w:rsidR="00BE2D50" w:rsidRPr="006663E2">
        <w:rPr>
          <w:rFonts w:ascii="Times New Roman" w:hAnsi="Times New Roman" w:cs="Times New Roman"/>
          <w:sz w:val="24"/>
          <w:szCs w:val="24"/>
          <w:lang w:val="en-GB"/>
        </w:rPr>
        <w:t>.</w:t>
      </w:r>
    </w:p>
    <w:p w14:paraId="1730917F" w14:textId="62F052AB" w:rsidR="004857EE" w:rsidRPr="006663E2" w:rsidRDefault="00995B7D"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At least two independent experts shall conduct a benefit and quality evaluation. Applications shall be evaluated in scores in accordance with priority project selection criteria, which may not be changed in the course of the evaluation of projects. The maximum possible score according to each criterion is indicated in Annex 4 to the Guidelines. The maximum score,</w:t>
      </w:r>
      <w:r w:rsidR="0016628A" w:rsidRPr="006663E2">
        <w:rPr>
          <w:rFonts w:ascii="Times New Roman" w:hAnsi="Times New Roman" w:cs="Times New Roman"/>
          <w:sz w:val="24"/>
          <w:szCs w:val="24"/>
          <w:lang w:val="en-GB"/>
        </w:rPr>
        <w:t xml:space="preserve"> which may be given according to all criteria of evaluation of the project’s </w:t>
      </w:r>
      <w:r w:rsidR="00C24779" w:rsidRPr="006663E2">
        <w:rPr>
          <w:rFonts w:ascii="Times New Roman" w:hAnsi="Times New Roman" w:cs="Times New Roman"/>
          <w:sz w:val="24"/>
          <w:szCs w:val="24"/>
          <w:lang w:val="en-GB"/>
        </w:rPr>
        <w:t xml:space="preserve">benefit and quality, shall be 100. </w:t>
      </w:r>
      <w:r w:rsidR="008E1CE2" w:rsidRPr="006663E2">
        <w:rPr>
          <w:rFonts w:ascii="Times New Roman" w:hAnsi="Times New Roman" w:cs="Times New Roman"/>
          <w:sz w:val="24"/>
          <w:szCs w:val="24"/>
          <w:lang w:val="en-GB"/>
        </w:rPr>
        <w:t>50</w:t>
      </w:r>
      <w:r w:rsidR="00C24779" w:rsidRPr="006663E2">
        <w:rPr>
          <w:rFonts w:ascii="Times New Roman" w:hAnsi="Times New Roman" w:cs="Times New Roman"/>
          <w:sz w:val="24"/>
          <w:szCs w:val="24"/>
          <w:lang w:val="en-GB"/>
        </w:rPr>
        <w:t xml:space="preserve"> shall be the minimum </w:t>
      </w:r>
      <w:r w:rsidR="002B7F47" w:rsidRPr="006663E2">
        <w:rPr>
          <w:rFonts w:ascii="Times New Roman" w:hAnsi="Times New Roman" w:cs="Times New Roman"/>
          <w:sz w:val="24"/>
          <w:szCs w:val="24"/>
          <w:lang w:val="en-GB"/>
        </w:rPr>
        <w:t xml:space="preserve">mandatory </w:t>
      </w:r>
      <w:r w:rsidR="00C24779" w:rsidRPr="006663E2">
        <w:rPr>
          <w:rFonts w:ascii="Times New Roman" w:hAnsi="Times New Roman" w:cs="Times New Roman"/>
          <w:sz w:val="24"/>
          <w:szCs w:val="24"/>
          <w:lang w:val="en-GB"/>
        </w:rPr>
        <w:t>score for projects under this call</w:t>
      </w:r>
      <w:r w:rsidR="002B7F47" w:rsidRPr="006663E2">
        <w:rPr>
          <w:rFonts w:ascii="Times New Roman" w:hAnsi="Times New Roman" w:cs="Times New Roman"/>
          <w:sz w:val="24"/>
          <w:szCs w:val="24"/>
          <w:lang w:val="en-GB"/>
        </w:rPr>
        <w:t>. Where projects receive the same score,</w:t>
      </w:r>
      <w:r w:rsidR="00002B9F" w:rsidRPr="006663E2">
        <w:rPr>
          <w:rFonts w:ascii="Times New Roman" w:hAnsi="Times New Roman" w:cs="Times New Roman"/>
          <w:sz w:val="24"/>
          <w:szCs w:val="24"/>
          <w:lang w:val="en-GB"/>
        </w:rPr>
        <w:t xml:space="preserve"> and the amount is not sufficient to finance all projects, priority shall be given to projects which score higher on the first priority selection criterion and, where projects are scored equally on this priority criterion, priority shall be given to projects which score higher on the next consecutive priority criterion. If all priority projects are evaluated in the same way and the amount of the call for proposals is insufficient to finance all of them,</w:t>
      </w:r>
      <w:r w:rsidR="002B7F47" w:rsidRPr="006663E2">
        <w:rPr>
          <w:rFonts w:ascii="Times New Roman" w:hAnsi="Times New Roman" w:cs="Times New Roman"/>
          <w:sz w:val="24"/>
          <w:szCs w:val="24"/>
          <w:lang w:val="en-GB"/>
        </w:rPr>
        <w:t xml:space="preserve"> they shall be arranged in sequence according to the time of receipt of an application via DMS (entering the application received the earliest first</w:t>
      </w:r>
      <w:r w:rsidR="00EF6F05" w:rsidRPr="006663E2">
        <w:rPr>
          <w:rFonts w:ascii="Times New Roman" w:hAnsi="Times New Roman" w:cs="Times New Roman"/>
          <w:sz w:val="24"/>
          <w:szCs w:val="24"/>
          <w:lang w:val="en-GB"/>
        </w:rPr>
        <w:t>)</w:t>
      </w:r>
      <w:r w:rsidR="004D31D3" w:rsidRPr="006663E2">
        <w:rPr>
          <w:rFonts w:ascii="Times New Roman" w:hAnsi="Times New Roman" w:cs="Times New Roman"/>
          <w:sz w:val="24"/>
          <w:szCs w:val="24"/>
          <w:lang w:val="en-GB"/>
        </w:rPr>
        <w:t>.</w:t>
      </w:r>
      <w:r w:rsidR="00A75CA3" w:rsidRPr="006663E2">
        <w:rPr>
          <w:rFonts w:ascii="Times New Roman" w:hAnsi="Times New Roman" w:cs="Times New Roman"/>
          <w:sz w:val="24"/>
          <w:szCs w:val="24"/>
          <w:lang w:val="en-GB"/>
        </w:rPr>
        <w:t xml:space="preserve"> </w:t>
      </w:r>
      <w:r w:rsidR="002B7F47" w:rsidRPr="006663E2">
        <w:rPr>
          <w:rFonts w:ascii="Times New Roman" w:hAnsi="Times New Roman" w:cs="Times New Roman"/>
          <w:sz w:val="24"/>
          <w:szCs w:val="24"/>
          <w:lang w:val="en-GB"/>
        </w:rPr>
        <w:t>Where the evaluation score of two evaluators differs by more than 30 percent</w:t>
      </w:r>
      <w:r w:rsidR="00872A58" w:rsidRPr="006663E2">
        <w:rPr>
          <w:rFonts w:ascii="Times New Roman" w:hAnsi="Times New Roman" w:cs="Times New Roman"/>
          <w:sz w:val="24"/>
          <w:szCs w:val="24"/>
          <w:lang w:val="en-GB"/>
        </w:rPr>
        <w:t xml:space="preserve"> of the </w:t>
      </w:r>
      <w:r w:rsidR="00A122E7" w:rsidRPr="006663E2">
        <w:rPr>
          <w:rFonts w:ascii="Times New Roman" w:hAnsi="Times New Roman" w:cs="Times New Roman"/>
          <w:sz w:val="24"/>
          <w:szCs w:val="24"/>
          <w:lang w:val="en-GB"/>
        </w:rPr>
        <w:t xml:space="preserve">higher </w:t>
      </w:r>
      <w:r w:rsidR="00872A58" w:rsidRPr="006663E2">
        <w:rPr>
          <w:rFonts w:ascii="Times New Roman" w:hAnsi="Times New Roman" w:cs="Times New Roman"/>
          <w:sz w:val="24"/>
          <w:szCs w:val="24"/>
          <w:lang w:val="en-GB"/>
        </w:rPr>
        <w:t>score</w:t>
      </w:r>
      <w:r w:rsidR="002B7F47" w:rsidRPr="006663E2">
        <w:rPr>
          <w:rFonts w:ascii="Times New Roman" w:hAnsi="Times New Roman" w:cs="Times New Roman"/>
          <w:sz w:val="24"/>
          <w:szCs w:val="24"/>
          <w:lang w:val="en-GB"/>
        </w:rPr>
        <w:t>, then the CPMA shall appoint the third independent evaluator. In such a case, the project shall be given a score of an average of two score</w:t>
      </w:r>
      <w:r w:rsidR="00E63496" w:rsidRPr="006663E2">
        <w:rPr>
          <w:rFonts w:ascii="Times New Roman" w:hAnsi="Times New Roman" w:cs="Times New Roman"/>
          <w:sz w:val="24"/>
          <w:szCs w:val="24"/>
          <w:lang w:val="en-GB"/>
        </w:rPr>
        <w:t>s</w:t>
      </w:r>
      <w:r w:rsidR="002B7F47" w:rsidRPr="006663E2">
        <w:rPr>
          <w:rFonts w:ascii="Times New Roman" w:hAnsi="Times New Roman" w:cs="Times New Roman"/>
          <w:sz w:val="24"/>
          <w:szCs w:val="24"/>
          <w:lang w:val="en-GB"/>
        </w:rPr>
        <w:t xml:space="preserve"> that came the closest</w:t>
      </w:r>
      <w:r w:rsidR="009043CA" w:rsidRPr="006663E2">
        <w:rPr>
          <w:rFonts w:ascii="Times New Roman" w:hAnsi="Times New Roman" w:cs="Times New Roman"/>
          <w:sz w:val="24"/>
          <w:szCs w:val="24"/>
          <w:lang w:val="en-GB"/>
        </w:rPr>
        <w:t>.</w:t>
      </w:r>
      <w:r w:rsidR="004857EE" w:rsidRPr="006663E2">
        <w:rPr>
          <w:rFonts w:ascii="Times New Roman" w:hAnsi="Times New Roman" w:cs="Times New Roman"/>
          <w:sz w:val="24"/>
          <w:szCs w:val="24"/>
          <w:lang w:val="en-GB"/>
        </w:rPr>
        <w:t xml:space="preserve"> </w:t>
      </w:r>
    </w:p>
    <w:bookmarkEnd w:id="11"/>
    <w:p w14:paraId="29A02542" w14:textId="34D44299" w:rsidR="00851DE8" w:rsidRPr="006663E2" w:rsidRDefault="00851DE8"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Application</w:t>
      </w:r>
      <w:r w:rsidR="00E63496" w:rsidRPr="006663E2">
        <w:rPr>
          <w:rFonts w:ascii="Times New Roman" w:hAnsi="Times New Roman" w:cs="Times New Roman"/>
          <w:sz w:val="24"/>
          <w:szCs w:val="24"/>
          <w:lang w:val="en-GB"/>
        </w:rPr>
        <w:t>s</w:t>
      </w:r>
      <w:r w:rsidRPr="006663E2">
        <w:rPr>
          <w:rFonts w:ascii="Times New Roman" w:hAnsi="Times New Roman" w:cs="Times New Roman"/>
          <w:sz w:val="24"/>
          <w:szCs w:val="24"/>
          <w:lang w:val="en-GB"/>
        </w:rPr>
        <w:t xml:space="preserve"> shall be evaluated</w:t>
      </w:r>
      <w:r w:rsidR="00E63496" w:rsidRPr="006663E2">
        <w:rPr>
          <w:rFonts w:ascii="Times New Roman" w:hAnsi="Times New Roman" w:cs="Times New Roman"/>
          <w:sz w:val="24"/>
          <w:szCs w:val="24"/>
          <w:lang w:val="en-GB"/>
        </w:rPr>
        <w:t xml:space="preserve"> for</w:t>
      </w:r>
      <w:r w:rsidRPr="006663E2">
        <w:rPr>
          <w:rFonts w:ascii="Times New Roman" w:hAnsi="Times New Roman" w:cs="Times New Roman"/>
          <w:sz w:val="24"/>
          <w:szCs w:val="24"/>
          <w:lang w:val="en-GB"/>
        </w:rPr>
        <w:t xml:space="preserve"> no more than 90 days after the deadline for the submission of applications specified in the call for applications</w:t>
      </w:r>
      <w:r w:rsidR="00094DFA" w:rsidRPr="006663E2">
        <w:rPr>
          <w:rFonts w:ascii="Times New Roman" w:hAnsi="Times New Roman" w:cs="Times New Roman"/>
          <w:sz w:val="24"/>
          <w:szCs w:val="24"/>
          <w:lang w:val="en-GB"/>
        </w:rPr>
        <w:t>.</w:t>
      </w:r>
    </w:p>
    <w:p w14:paraId="13ECD565" w14:textId="0CF8B6BE" w:rsidR="005C66EC" w:rsidRPr="006663E2" w:rsidRDefault="00851DE8"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The evaluation term may be extended by a decision of the CPMA, if</w:t>
      </w:r>
      <w:r w:rsidR="005C66EC" w:rsidRPr="006663E2">
        <w:rPr>
          <w:rFonts w:ascii="Times New Roman" w:hAnsi="Times New Roman" w:cs="Times New Roman"/>
          <w:sz w:val="24"/>
          <w:szCs w:val="24"/>
          <w:lang w:val="en-GB"/>
        </w:rPr>
        <w:t>:</w:t>
      </w:r>
    </w:p>
    <w:p w14:paraId="24CD4701" w14:textId="147FDB7D" w:rsidR="00BD0800" w:rsidRPr="006663E2" w:rsidRDefault="00094DFA" w:rsidP="00C540E2">
      <w:pPr>
        <w:pStyle w:val="ListParagraph"/>
        <w:numPr>
          <w:ilvl w:val="1"/>
          <w:numId w:val="12"/>
        </w:numPr>
        <w:spacing w:after="120" w:line="240" w:lineRule="auto"/>
        <w:ind w:left="993" w:hanging="567"/>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in </w:t>
      </w:r>
      <w:r w:rsidR="00BD0800" w:rsidRPr="006663E2">
        <w:rPr>
          <w:rFonts w:ascii="Times New Roman" w:hAnsi="Times New Roman" w:cs="Times New Roman"/>
          <w:sz w:val="24"/>
          <w:szCs w:val="24"/>
          <w:lang w:val="en-GB"/>
        </w:rPr>
        <w:t xml:space="preserve">case more than 100 </w:t>
      </w:r>
      <w:r w:rsidRPr="006663E2">
        <w:rPr>
          <w:rFonts w:ascii="Times New Roman" w:hAnsi="Times New Roman" w:cs="Times New Roman"/>
          <w:sz w:val="24"/>
          <w:szCs w:val="24"/>
          <w:lang w:val="en-GB"/>
        </w:rPr>
        <w:t>applications were received;</w:t>
      </w:r>
    </w:p>
    <w:p w14:paraId="25FEFF64" w14:textId="2BF414C7" w:rsidR="00C90EC6" w:rsidRPr="006663E2" w:rsidRDefault="00BD0800" w:rsidP="00C540E2">
      <w:pPr>
        <w:pStyle w:val="ListParagraph"/>
        <w:numPr>
          <w:ilvl w:val="1"/>
          <w:numId w:val="12"/>
        </w:numPr>
        <w:spacing w:after="120" w:line="240" w:lineRule="auto"/>
        <w:ind w:left="993" w:hanging="567"/>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in the evaluation of applications, </w:t>
      </w:r>
      <w:r w:rsidR="00002B9F" w:rsidRPr="006663E2">
        <w:rPr>
          <w:rFonts w:ascii="Times New Roman" w:hAnsi="Times New Roman" w:cs="Times New Roman"/>
          <w:sz w:val="24"/>
          <w:szCs w:val="24"/>
          <w:lang w:val="en-GB"/>
        </w:rPr>
        <w:t xml:space="preserve">Financial Mechanism </w:t>
      </w:r>
      <w:r w:rsidR="003F38DD" w:rsidRPr="006663E2">
        <w:rPr>
          <w:rFonts w:ascii="Times New Roman" w:hAnsi="Times New Roman" w:cs="Times New Roman"/>
          <w:sz w:val="24"/>
          <w:szCs w:val="24"/>
          <w:lang w:val="en-GB"/>
        </w:rPr>
        <w:t>Office</w:t>
      </w:r>
      <w:r w:rsidR="00002B9F" w:rsidRPr="006663E2">
        <w:rPr>
          <w:rFonts w:ascii="Times New Roman" w:hAnsi="Times New Roman" w:cs="Times New Roman"/>
          <w:sz w:val="24"/>
          <w:szCs w:val="24"/>
          <w:lang w:val="en-GB"/>
        </w:rPr>
        <w:t>, Program Partner, Coordinating Authority</w:t>
      </w:r>
      <w:r w:rsidR="00002B9F" w:rsidRPr="006663E2" w:rsidDel="00002B9F">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or other related authorities were addressed for interpretation of certain evaluation provisions. In such a case, the evaluation term shall be extended for the period of time, which passed from the referral date till the day when a response was received</w:t>
      </w:r>
      <w:r w:rsidR="005C66EC" w:rsidRPr="006663E2">
        <w:rPr>
          <w:rFonts w:ascii="Times New Roman" w:hAnsi="Times New Roman" w:cs="Times New Roman"/>
          <w:sz w:val="24"/>
          <w:szCs w:val="24"/>
          <w:lang w:val="en-GB"/>
        </w:rPr>
        <w:t>.</w:t>
      </w:r>
    </w:p>
    <w:p w14:paraId="725388BC" w14:textId="68F3DE06" w:rsidR="00C90EC6" w:rsidRPr="006663E2" w:rsidRDefault="00BD0800"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CPMA shall make a decision on financing </w:t>
      </w:r>
      <w:r w:rsidR="00C42228" w:rsidRPr="006663E2">
        <w:rPr>
          <w:rFonts w:ascii="Times New Roman" w:hAnsi="Times New Roman" w:cs="Times New Roman"/>
          <w:sz w:val="24"/>
          <w:szCs w:val="24"/>
          <w:lang w:val="en-GB"/>
        </w:rPr>
        <w:t xml:space="preserve">of </w:t>
      </w:r>
      <w:r w:rsidRPr="006663E2">
        <w:rPr>
          <w:rFonts w:ascii="Times New Roman" w:hAnsi="Times New Roman" w:cs="Times New Roman"/>
          <w:sz w:val="24"/>
          <w:szCs w:val="24"/>
          <w:lang w:val="en-GB"/>
        </w:rPr>
        <w:t>projects, which were approved by the project selection committee and which are in line with the requirements of evaluation of project benefit and quality, project eligibility and administrative compliance</w:t>
      </w:r>
      <w:r w:rsidR="00143627" w:rsidRPr="006663E2">
        <w:rPr>
          <w:rFonts w:ascii="Times New Roman" w:hAnsi="Times New Roman" w:cs="Times New Roman"/>
          <w:sz w:val="24"/>
          <w:szCs w:val="24"/>
          <w:lang w:val="en-GB"/>
        </w:rPr>
        <w:t>.</w:t>
      </w:r>
    </w:p>
    <w:p w14:paraId="4FDD7E24" w14:textId="01A9062F" w:rsidR="004857EE" w:rsidRPr="006663E2" w:rsidRDefault="00BD0800"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Applications shall be rejected </w:t>
      </w:r>
      <w:r w:rsidR="007340ED" w:rsidRPr="006663E2">
        <w:rPr>
          <w:rFonts w:ascii="Times New Roman" w:hAnsi="Times New Roman" w:cs="Times New Roman"/>
          <w:sz w:val="24"/>
          <w:szCs w:val="24"/>
          <w:lang w:val="en-GB"/>
        </w:rPr>
        <w:t>if it is determined that</w:t>
      </w:r>
      <w:r w:rsidR="00A46041" w:rsidRPr="006663E2">
        <w:rPr>
          <w:rFonts w:ascii="Times New Roman" w:hAnsi="Times New Roman" w:cs="Times New Roman"/>
          <w:sz w:val="24"/>
          <w:szCs w:val="24"/>
          <w:lang w:val="en-GB"/>
        </w:rPr>
        <w:t xml:space="preserve">: </w:t>
      </w:r>
    </w:p>
    <w:p w14:paraId="5DC679A7" w14:textId="537474A5" w:rsidR="00980CC5" w:rsidRPr="006663E2" w:rsidRDefault="00BD0800"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same </w:t>
      </w:r>
      <w:r w:rsidR="00A1799F"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pplicant has submitted more than one application</w:t>
      </w:r>
      <w:r w:rsidR="00980CC5" w:rsidRPr="006663E2">
        <w:rPr>
          <w:rFonts w:ascii="Times New Roman" w:hAnsi="Times New Roman" w:cs="Times New Roman"/>
          <w:sz w:val="24"/>
          <w:szCs w:val="24"/>
          <w:lang w:val="en-GB"/>
        </w:rPr>
        <w:t>;</w:t>
      </w:r>
    </w:p>
    <w:p w14:paraId="4D44663A" w14:textId="4C5EE49B" w:rsidR="00A46041" w:rsidRPr="006663E2" w:rsidRDefault="00C42228"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w:t>
      </w:r>
      <w:r w:rsidR="00BD0800" w:rsidRPr="006663E2">
        <w:rPr>
          <w:rFonts w:ascii="Times New Roman" w:hAnsi="Times New Roman" w:cs="Times New Roman"/>
          <w:sz w:val="24"/>
          <w:szCs w:val="24"/>
          <w:lang w:val="en-GB"/>
        </w:rPr>
        <w:t xml:space="preserve">he application </w:t>
      </w:r>
      <w:r w:rsidRPr="006663E2">
        <w:rPr>
          <w:rFonts w:ascii="Times New Roman" w:hAnsi="Times New Roman" w:cs="Times New Roman"/>
          <w:sz w:val="24"/>
          <w:szCs w:val="24"/>
          <w:lang w:val="en-GB"/>
        </w:rPr>
        <w:t xml:space="preserve">does not meet at least </w:t>
      </w:r>
      <w:r w:rsidR="00BD0800" w:rsidRPr="006663E2">
        <w:rPr>
          <w:rFonts w:ascii="Times New Roman" w:hAnsi="Times New Roman" w:cs="Times New Roman"/>
          <w:sz w:val="24"/>
          <w:szCs w:val="24"/>
          <w:lang w:val="en-GB"/>
        </w:rPr>
        <w:t xml:space="preserve">one general or special project </w:t>
      </w:r>
      <w:r w:rsidR="00A1799F" w:rsidRPr="006663E2">
        <w:rPr>
          <w:rFonts w:ascii="Times New Roman" w:hAnsi="Times New Roman" w:cs="Times New Roman"/>
          <w:sz w:val="24"/>
          <w:szCs w:val="24"/>
          <w:lang w:val="en-GB"/>
        </w:rPr>
        <w:t>compliance</w:t>
      </w:r>
      <w:r w:rsidR="00BD0800" w:rsidRPr="006663E2">
        <w:rPr>
          <w:rFonts w:ascii="Times New Roman" w:hAnsi="Times New Roman" w:cs="Times New Roman"/>
          <w:sz w:val="24"/>
          <w:szCs w:val="24"/>
          <w:lang w:val="en-GB"/>
        </w:rPr>
        <w:t xml:space="preserve"> criteri</w:t>
      </w:r>
      <w:r w:rsidR="00896A16">
        <w:rPr>
          <w:rFonts w:ascii="Times New Roman" w:hAnsi="Times New Roman" w:cs="Times New Roman"/>
          <w:sz w:val="24"/>
          <w:szCs w:val="24"/>
          <w:lang w:val="en-GB"/>
        </w:rPr>
        <w:t>a</w:t>
      </w:r>
      <w:r w:rsidR="00BD0800" w:rsidRPr="006663E2">
        <w:rPr>
          <w:rFonts w:ascii="Times New Roman" w:hAnsi="Times New Roman" w:cs="Times New Roman"/>
          <w:sz w:val="24"/>
          <w:szCs w:val="24"/>
          <w:lang w:val="en-GB"/>
        </w:rPr>
        <w:t xml:space="preserve">(eligibility) laid down in Annex </w:t>
      </w:r>
      <w:r w:rsidR="00C422E5" w:rsidRPr="006663E2">
        <w:rPr>
          <w:rFonts w:ascii="Times New Roman" w:hAnsi="Times New Roman" w:cs="Times New Roman"/>
          <w:sz w:val="24"/>
          <w:szCs w:val="24"/>
          <w:lang w:val="en-GB"/>
        </w:rPr>
        <w:t>4</w:t>
      </w:r>
      <w:r w:rsidR="00BD0800" w:rsidRPr="006663E2">
        <w:rPr>
          <w:rFonts w:ascii="Times New Roman" w:hAnsi="Times New Roman" w:cs="Times New Roman"/>
          <w:sz w:val="24"/>
          <w:szCs w:val="24"/>
          <w:lang w:val="en-GB"/>
        </w:rPr>
        <w:t xml:space="preserve"> to the Guidelines; </w:t>
      </w:r>
    </w:p>
    <w:p w14:paraId="2BC5AD87" w14:textId="352B9913" w:rsidR="00A46041" w:rsidRPr="006663E2" w:rsidRDefault="007340ED"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w:t>
      </w:r>
      <w:r w:rsidR="00BD0800" w:rsidRPr="006663E2">
        <w:rPr>
          <w:rFonts w:ascii="Times New Roman" w:hAnsi="Times New Roman" w:cs="Times New Roman"/>
          <w:sz w:val="24"/>
          <w:szCs w:val="24"/>
          <w:lang w:val="en-GB"/>
        </w:rPr>
        <w:t xml:space="preserve">he </w:t>
      </w:r>
      <w:r w:rsidR="00A1799F" w:rsidRPr="006663E2">
        <w:rPr>
          <w:rFonts w:ascii="Times New Roman" w:hAnsi="Times New Roman" w:cs="Times New Roman"/>
          <w:sz w:val="24"/>
          <w:szCs w:val="24"/>
          <w:lang w:val="en-GB"/>
        </w:rPr>
        <w:t>A</w:t>
      </w:r>
      <w:r w:rsidR="00BD0800" w:rsidRPr="006663E2">
        <w:rPr>
          <w:rFonts w:ascii="Times New Roman" w:hAnsi="Times New Roman" w:cs="Times New Roman"/>
          <w:sz w:val="24"/>
          <w:szCs w:val="24"/>
          <w:lang w:val="en-GB"/>
        </w:rPr>
        <w:t xml:space="preserve">pplicant </w:t>
      </w:r>
      <w:r w:rsidRPr="006663E2">
        <w:rPr>
          <w:rFonts w:ascii="Times New Roman" w:hAnsi="Times New Roman" w:cs="Times New Roman"/>
          <w:sz w:val="24"/>
          <w:szCs w:val="24"/>
          <w:lang w:val="en-GB"/>
        </w:rPr>
        <w:t xml:space="preserve">does not </w:t>
      </w:r>
      <w:r w:rsidR="00BD0800" w:rsidRPr="006663E2">
        <w:rPr>
          <w:rFonts w:ascii="Times New Roman" w:hAnsi="Times New Roman" w:cs="Times New Roman"/>
          <w:sz w:val="24"/>
          <w:szCs w:val="24"/>
          <w:lang w:val="en-GB"/>
        </w:rPr>
        <w:t>meet at least one</w:t>
      </w:r>
      <w:r w:rsidR="009048BB">
        <w:rPr>
          <w:rFonts w:ascii="Times New Roman" w:hAnsi="Times New Roman" w:cs="Times New Roman"/>
          <w:sz w:val="24"/>
          <w:szCs w:val="24"/>
          <w:lang w:val="en-GB"/>
        </w:rPr>
        <w:t xml:space="preserve"> </w:t>
      </w:r>
      <w:r w:rsidR="00BD0800" w:rsidRPr="006663E2">
        <w:rPr>
          <w:rFonts w:ascii="Times New Roman" w:hAnsi="Times New Roman" w:cs="Times New Roman"/>
          <w:sz w:val="24"/>
          <w:szCs w:val="24"/>
          <w:lang w:val="en-GB"/>
        </w:rPr>
        <w:t xml:space="preserve"> administrative compliance criter</w:t>
      </w:r>
      <w:r w:rsidR="00126BFE">
        <w:rPr>
          <w:rFonts w:ascii="Times New Roman" w:hAnsi="Times New Roman" w:cs="Times New Roman"/>
          <w:sz w:val="24"/>
          <w:szCs w:val="24"/>
          <w:lang w:val="en-GB"/>
        </w:rPr>
        <w:t>i</w:t>
      </w:r>
      <w:r w:rsidR="00896A16">
        <w:rPr>
          <w:rFonts w:ascii="Times New Roman" w:hAnsi="Times New Roman" w:cs="Times New Roman"/>
          <w:sz w:val="24"/>
          <w:szCs w:val="24"/>
          <w:lang w:val="en-GB"/>
        </w:rPr>
        <w:t>a</w:t>
      </w:r>
      <w:r w:rsidR="00BD0800" w:rsidRPr="006663E2">
        <w:rPr>
          <w:rFonts w:ascii="Times New Roman" w:hAnsi="Times New Roman" w:cs="Times New Roman"/>
          <w:sz w:val="24"/>
          <w:szCs w:val="24"/>
          <w:lang w:val="en-GB"/>
        </w:rPr>
        <w:t xml:space="preserve"> indicated in Annex </w:t>
      </w:r>
      <w:r w:rsidR="00C422E5" w:rsidRPr="006663E2">
        <w:rPr>
          <w:rFonts w:ascii="Times New Roman" w:hAnsi="Times New Roman" w:cs="Times New Roman"/>
          <w:sz w:val="24"/>
          <w:szCs w:val="24"/>
          <w:lang w:val="en-GB"/>
        </w:rPr>
        <w:t>3</w:t>
      </w:r>
      <w:r w:rsidR="00BD0800" w:rsidRPr="006663E2">
        <w:rPr>
          <w:rFonts w:ascii="Times New Roman" w:hAnsi="Times New Roman" w:cs="Times New Roman"/>
          <w:sz w:val="24"/>
          <w:szCs w:val="24"/>
          <w:lang w:val="en-GB"/>
        </w:rPr>
        <w:t xml:space="preserve"> to the Guidelines; </w:t>
      </w:r>
    </w:p>
    <w:p w14:paraId="4EB765FE" w14:textId="5041AF66" w:rsidR="007315EC" w:rsidRPr="006663E2" w:rsidRDefault="007340ED"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T</w:t>
      </w:r>
      <w:r w:rsidR="002D59A4" w:rsidRPr="006663E2">
        <w:rPr>
          <w:rFonts w:ascii="Times New Roman" w:hAnsi="Times New Roman" w:cs="Times New Roman"/>
          <w:sz w:val="24"/>
          <w:szCs w:val="24"/>
          <w:lang w:val="en-GB"/>
        </w:rPr>
        <w:t xml:space="preserve">he </w:t>
      </w:r>
      <w:r w:rsidR="00A1799F" w:rsidRPr="006663E2">
        <w:rPr>
          <w:rFonts w:ascii="Times New Roman" w:hAnsi="Times New Roman" w:cs="Times New Roman"/>
          <w:sz w:val="24"/>
          <w:szCs w:val="24"/>
          <w:lang w:val="en-GB"/>
        </w:rPr>
        <w:t>A</w:t>
      </w:r>
      <w:r w:rsidR="002D59A4" w:rsidRPr="006663E2">
        <w:rPr>
          <w:rFonts w:ascii="Times New Roman" w:hAnsi="Times New Roman" w:cs="Times New Roman"/>
          <w:sz w:val="24"/>
          <w:szCs w:val="24"/>
          <w:lang w:val="en-GB"/>
        </w:rPr>
        <w:t xml:space="preserve">pplicant submitted misleading information in </w:t>
      </w:r>
      <w:r w:rsidR="00A1799F" w:rsidRPr="006663E2">
        <w:rPr>
          <w:rFonts w:ascii="Times New Roman" w:hAnsi="Times New Roman" w:cs="Times New Roman"/>
          <w:sz w:val="24"/>
          <w:szCs w:val="24"/>
          <w:lang w:val="en-GB"/>
        </w:rPr>
        <w:t>its</w:t>
      </w:r>
      <w:r w:rsidR="002D59A4" w:rsidRPr="006663E2">
        <w:rPr>
          <w:rFonts w:ascii="Times New Roman" w:hAnsi="Times New Roman" w:cs="Times New Roman"/>
          <w:sz w:val="24"/>
          <w:szCs w:val="24"/>
          <w:lang w:val="en-GB"/>
        </w:rPr>
        <w:t xml:space="preserve"> application, or the </w:t>
      </w:r>
      <w:r w:rsidR="00A1799F" w:rsidRPr="006663E2">
        <w:rPr>
          <w:rFonts w:ascii="Times New Roman" w:hAnsi="Times New Roman" w:cs="Times New Roman"/>
          <w:sz w:val="24"/>
          <w:szCs w:val="24"/>
          <w:lang w:val="en-GB"/>
        </w:rPr>
        <w:t>A</w:t>
      </w:r>
      <w:r w:rsidR="002D59A4" w:rsidRPr="006663E2">
        <w:rPr>
          <w:rFonts w:ascii="Times New Roman" w:hAnsi="Times New Roman" w:cs="Times New Roman"/>
          <w:sz w:val="24"/>
          <w:szCs w:val="24"/>
          <w:lang w:val="en-GB"/>
        </w:rPr>
        <w:t xml:space="preserve">pplicant or persons related to the application (the project planned for implementation) seek to receive </w:t>
      </w:r>
      <w:r w:rsidR="002D59A4" w:rsidRPr="006663E2">
        <w:rPr>
          <w:rFonts w:ascii="Times New Roman" w:hAnsi="Times New Roman" w:cs="Times New Roman"/>
          <w:sz w:val="24"/>
          <w:szCs w:val="24"/>
          <w:lang w:val="en-GB"/>
        </w:rPr>
        <w:lastRenderedPageBreak/>
        <w:t>information, which the CPMA considers to be confidential, or to unlawfully exert influence on evaluation results or evaluators</w:t>
      </w:r>
      <w:r w:rsidR="007315EC" w:rsidRPr="006663E2">
        <w:rPr>
          <w:rFonts w:ascii="Times New Roman" w:hAnsi="Times New Roman" w:cs="Times New Roman"/>
          <w:sz w:val="24"/>
          <w:szCs w:val="24"/>
          <w:lang w:val="en-GB"/>
        </w:rPr>
        <w:t>;</w:t>
      </w:r>
    </w:p>
    <w:p w14:paraId="521A1D0D" w14:textId="5154D164" w:rsidR="007315EC" w:rsidRPr="006663E2" w:rsidRDefault="00D04494" w:rsidP="00C540E2">
      <w:pPr>
        <w:pStyle w:val="ListParagraph"/>
        <w:numPr>
          <w:ilvl w:val="1"/>
          <w:numId w:val="12"/>
        </w:numPr>
        <w:spacing w:after="120" w:line="240" w:lineRule="auto"/>
        <w:ind w:left="1134" w:hanging="708"/>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project scores less than </w:t>
      </w:r>
      <w:r w:rsidR="008E1CE2" w:rsidRPr="006663E2">
        <w:rPr>
          <w:rFonts w:ascii="Times New Roman" w:hAnsi="Times New Roman" w:cs="Times New Roman"/>
          <w:sz w:val="24"/>
          <w:szCs w:val="24"/>
          <w:lang w:val="en-GB"/>
        </w:rPr>
        <w:t>50</w:t>
      </w:r>
      <w:r w:rsidRPr="006663E2">
        <w:rPr>
          <w:rFonts w:ascii="Times New Roman" w:hAnsi="Times New Roman" w:cs="Times New Roman"/>
          <w:sz w:val="24"/>
          <w:szCs w:val="24"/>
          <w:lang w:val="en-GB"/>
        </w:rPr>
        <w:t xml:space="preserve"> in the evaluation of benefit and quality</w:t>
      </w:r>
      <w:r w:rsidR="007315EC" w:rsidRPr="006663E2">
        <w:rPr>
          <w:rFonts w:ascii="Times New Roman" w:hAnsi="Times New Roman" w:cs="Times New Roman"/>
          <w:sz w:val="24"/>
          <w:szCs w:val="24"/>
          <w:lang w:val="en-GB"/>
        </w:rPr>
        <w:t>.</w:t>
      </w:r>
    </w:p>
    <w:p w14:paraId="252D7778" w14:textId="08AA6686" w:rsidR="00DD4CE6" w:rsidRPr="006663E2" w:rsidRDefault="00723B7A" w:rsidP="00C540E2">
      <w:pPr>
        <w:pStyle w:val="ListParagraph"/>
        <w:numPr>
          <w:ilvl w:val="0"/>
          <w:numId w:val="12"/>
        </w:numPr>
        <w:spacing w:after="120" w:line="240" w:lineRule="auto"/>
        <w:jc w:val="both"/>
        <w:rPr>
          <w:rFonts w:ascii="Times New Roman" w:hAnsi="Times New Roman" w:cs="Times New Roman"/>
          <w:sz w:val="24"/>
          <w:szCs w:val="24"/>
          <w:lang w:val="en-GB"/>
        </w:rPr>
      </w:pPr>
      <w:bookmarkStart w:id="12" w:name="_Hlk18089323"/>
      <w:r w:rsidRPr="006663E2">
        <w:rPr>
          <w:rFonts w:ascii="Times New Roman" w:hAnsi="Times New Roman" w:cs="Times New Roman"/>
          <w:sz w:val="24"/>
          <w:szCs w:val="24"/>
          <w:lang w:val="en-GB"/>
        </w:rPr>
        <w:t xml:space="preserve">The CPMA shall conclude a bilateral project </w:t>
      </w:r>
      <w:r w:rsidR="0081545D" w:rsidRPr="006663E2">
        <w:rPr>
          <w:rFonts w:ascii="Times New Roman" w:hAnsi="Times New Roman" w:cs="Times New Roman"/>
          <w:sz w:val="24"/>
          <w:szCs w:val="24"/>
          <w:lang w:val="en-GB"/>
        </w:rPr>
        <w:t>contract</w:t>
      </w:r>
      <w:r w:rsidRPr="006663E2">
        <w:rPr>
          <w:rFonts w:ascii="Times New Roman" w:hAnsi="Times New Roman" w:cs="Times New Roman"/>
          <w:sz w:val="24"/>
          <w:szCs w:val="24"/>
          <w:lang w:val="en-GB"/>
        </w:rPr>
        <w:t xml:space="preserve"> with the </w:t>
      </w:r>
      <w:r w:rsidR="00A1799F"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pplicant whose project has been selected for financing from mechanism and co-financing funds. A project </w:t>
      </w:r>
      <w:r w:rsidR="0081545D" w:rsidRPr="006663E2">
        <w:rPr>
          <w:rFonts w:ascii="Times New Roman" w:hAnsi="Times New Roman" w:cs="Times New Roman"/>
          <w:sz w:val="24"/>
          <w:szCs w:val="24"/>
          <w:lang w:val="en-GB"/>
        </w:rPr>
        <w:t>contract</w:t>
      </w:r>
      <w:r w:rsidRPr="006663E2">
        <w:rPr>
          <w:rFonts w:ascii="Times New Roman" w:hAnsi="Times New Roman" w:cs="Times New Roman"/>
          <w:sz w:val="24"/>
          <w:szCs w:val="24"/>
          <w:lang w:val="en-GB"/>
        </w:rPr>
        <w:t xml:space="preserve"> shall comprise general conditions and special conditions</w:t>
      </w:r>
      <w:r w:rsidR="00DD4CE6" w:rsidRPr="006663E2">
        <w:rPr>
          <w:rFonts w:ascii="Times New Roman" w:hAnsi="Times New Roman" w:cs="Times New Roman"/>
          <w:sz w:val="24"/>
          <w:szCs w:val="24"/>
          <w:lang w:val="en-GB"/>
        </w:rPr>
        <w:t xml:space="preserve">. General conditions are approved by the Decree No. 2019/20-3-1 of the Deputy Director of the CPMA of 1 July 2019 “Regarding approval of the General conditions of the 2014-2021 European Economic Area financial mechanism or 2014-2021 Norwegian mechanism project contract”. Special conditions are laid down in the Annex </w:t>
      </w:r>
      <w:r w:rsidR="00C422E5" w:rsidRPr="006663E2">
        <w:rPr>
          <w:rFonts w:ascii="Times New Roman" w:hAnsi="Times New Roman" w:cs="Times New Roman"/>
          <w:sz w:val="24"/>
          <w:szCs w:val="24"/>
          <w:lang w:val="en-GB"/>
        </w:rPr>
        <w:t>7 to the Guidelines</w:t>
      </w:r>
      <w:r w:rsidR="00DD4CE6" w:rsidRPr="006663E2">
        <w:rPr>
          <w:rFonts w:ascii="Times New Roman" w:hAnsi="Times New Roman" w:cs="Times New Roman"/>
          <w:sz w:val="24"/>
          <w:szCs w:val="24"/>
          <w:lang w:val="en-GB"/>
        </w:rPr>
        <w:t xml:space="preserve">. </w:t>
      </w:r>
    </w:p>
    <w:p w14:paraId="361A9FE0" w14:textId="32914386" w:rsidR="0085447B" w:rsidRPr="006663E2" w:rsidRDefault="0085447B"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If the </w:t>
      </w:r>
      <w:r w:rsidR="00A1799F"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pplicant refuses or fails to sign a project </w:t>
      </w:r>
      <w:r w:rsidR="0081545D" w:rsidRPr="006663E2">
        <w:rPr>
          <w:rFonts w:ascii="Times New Roman" w:hAnsi="Times New Roman" w:cs="Times New Roman"/>
          <w:sz w:val="24"/>
          <w:szCs w:val="24"/>
          <w:lang w:val="en-GB"/>
        </w:rPr>
        <w:t xml:space="preserve">contract </w:t>
      </w:r>
      <w:r w:rsidRPr="006663E2">
        <w:rPr>
          <w:rFonts w:ascii="Times New Roman" w:hAnsi="Times New Roman" w:cs="Times New Roman"/>
          <w:sz w:val="24"/>
          <w:szCs w:val="24"/>
          <w:lang w:val="en-GB"/>
        </w:rPr>
        <w:t xml:space="preserve">within the deadline set by the CPMA or fails to fulfil the conditions that must be fulfilled before concluding a project </w:t>
      </w:r>
      <w:r w:rsidR="0081545D" w:rsidRPr="006663E2">
        <w:rPr>
          <w:rFonts w:ascii="Times New Roman" w:hAnsi="Times New Roman" w:cs="Times New Roman"/>
          <w:sz w:val="24"/>
          <w:szCs w:val="24"/>
          <w:lang w:val="en-GB"/>
        </w:rPr>
        <w:t xml:space="preserve">contract </w:t>
      </w:r>
      <w:r w:rsidRPr="006663E2">
        <w:rPr>
          <w:rFonts w:ascii="Times New Roman" w:hAnsi="Times New Roman" w:cs="Times New Roman"/>
          <w:sz w:val="24"/>
          <w:szCs w:val="24"/>
          <w:lang w:val="en-GB"/>
        </w:rPr>
        <w:t>within the set period of time (</w:t>
      </w:r>
      <w:r w:rsidR="00A1799F" w:rsidRPr="006663E2">
        <w:rPr>
          <w:rFonts w:ascii="Times New Roman" w:hAnsi="Times New Roman" w:cs="Times New Roman"/>
          <w:sz w:val="24"/>
          <w:szCs w:val="24"/>
          <w:lang w:val="en-GB"/>
        </w:rPr>
        <w:t>fails</w:t>
      </w:r>
      <w:r w:rsidRPr="006663E2">
        <w:rPr>
          <w:rFonts w:ascii="Times New Roman" w:hAnsi="Times New Roman" w:cs="Times New Roman"/>
          <w:sz w:val="24"/>
          <w:szCs w:val="24"/>
          <w:lang w:val="en-GB"/>
        </w:rPr>
        <w:t xml:space="preserve"> to fulfil a reservation or submit information and documents proving the fulfilment of the reservation), </w:t>
      </w:r>
      <w:r w:rsidR="0059135A" w:rsidRPr="006663E2">
        <w:rPr>
          <w:rFonts w:ascii="Times New Roman" w:hAnsi="Times New Roman" w:cs="Times New Roman"/>
          <w:sz w:val="24"/>
          <w:szCs w:val="24"/>
          <w:lang w:val="en-GB"/>
        </w:rPr>
        <w:t xml:space="preserve">the Applicant will be deemed to have refused the Agreement. </w:t>
      </w:r>
    </w:p>
    <w:p w14:paraId="0D8A8441" w14:textId="36EF7410" w:rsidR="004D05A3" w:rsidRPr="006663E2" w:rsidRDefault="0085447B"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project </w:t>
      </w:r>
      <w:r w:rsidR="0081545D" w:rsidRPr="006663E2">
        <w:rPr>
          <w:rFonts w:ascii="Times New Roman" w:hAnsi="Times New Roman" w:cs="Times New Roman"/>
          <w:sz w:val="24"/>
          <w:szCs w:val="24"/>
          <w:lang w:val="en-GB"/>
        </w:rPr>
        <w:t>contract</w:t>
      </w:r>
      <w:r w:rsidRPr="006663E2">
        <w:rPr>
          <w:rFonts w:ascii="Times New Roman" w:hAnsi="Times New Roman" w:cs="Times New Roman"/>
          <w:sz w:val="24"/>
          <w:szCs w:val="24"/>
          <w:lang w:val="en-GB"/>
        </w:rPr>
        <w:t xml:space="preserve"> shall be concluded, modified and terminated in accordance with the provisions of Chapter XVII</w:t>
      </w:r>
      <w:r w:rsidR="0059135A" w:rsidRPr="006663E2">
        <w:rPr>
          <w:rFonts w:ascii="Times New Roman" w:hAnsi="Times New Roman" w:cs="Times New Roman"/>
          <w:sz w:val="24"/>
          <w:szCs w:val="24"/>
          <w:lang w:val="en-GB"/>
        </w:rPr>
        <w:t>I</w:t>
      </w:r>
      <w:r w:rsidRPr="006663E2">
        <w:rPr>
          <w:rFonts w:ascii="Times New Roman" w:hAnsi="Times New Roman" w:cs="Times New Roman"/>
          <w:sz w:val="24"/>
          <w:szCs w:val="24"/>
          <w:lang w:val="en-GB"/>
        </w:rPr>
        <w:t xml:space="preserve"> of the MAFR</w:t>
      </w:r>
      <w:r w:rsidR="00371FBE" w:rsidRPr="006663E2">
        <w:rPr>
          <w:rFonts w:ascii="Times New Roman" w:hAnsi="Times New Roman" w:cs="Times New Roman"/>
          <w:sz w:val="24"/>
          <w:szCs w:val="24"/>
          <w:lang w:val="en-GB"/>
        </w:rPr>
        <w:t xml:space="preserve">. </w:t>
      </w:r>
      <w:bookmarkStart w:id="13" w:name="_Hlk18089393"/>
      <w:bookmarkEnd w:id="12"/>
    </w:p>
    <w:p w14:paraId="3B011942" w14:textId="77777777" w:rsidR="0085447B" w:rsidRPr="006663E2" w:rsidRDefault="0085447B" w:rsidP="00C540E2">
      <w:pPr>
        <w:pStyle w:val="ListParagraph"/>
        <w:spacing w:after="120" w:line="240" w:lineRule="auto"/>
        <w:ind w:left="360"/>
        <w:jc w:val="both"/>
        <w:rPr>
          <w:rFonts w:ascii="Times New Roman" w:hAnsi="Times New Roman" w:cs="Times New Roman"/>
          <w:sz w:val="24"/>
          <w:szCs w:val="24"/>
          <w:lang w:val="en-GB"/>
        </w:rPr>
      </w:pPr>
    </w:p>
    <w:bookmarkEnd w:id="13"/>
    <w:p w14:paraId="632ECEB7" w14:textId="296E1090" w:rsidR="002B3D48" w:rsidRPr="006663E2" w:rsidRDefault="00071089" w:rsidP="00C540E2">
      <w:pPr>
        <w:pStyle w:val="ListParagraph"/>
        <w:numPr>
          <w:ilvl w:val="0"/>
          <w:numId w:val="1"/>
        </w:numPr>
        <w:spacing w:after="120" w:line="240" w:lineRule="auto"/>
        <w:jc w:val="center"/>
        <w:rPr>
          <w:rFonts w:ascii="Times New Roman" w:hAnsi="Times New Roman" w:cs="Times New Roman"/>
          <w:b/>
          <w:bCs/>
          <w:sz w:val="24"/>
          <w:szCs w:val="24"/>
          <w:lang w:val="en-GB"/>
        </w:rPr>
      </w:pPr>
      <w:r w:rsidRPr="006663E2">
        <w:rPr>
          <w:rFonts w:ascii="Times New Roman" w:hAnsi="Times New Roman" w:cs="Times New Roman"/>
          <w:b/>
          <w:bCs/>
          <w:sz w:val="24"/>
          <w:szCs w:val="24"/>
          <w:lang w:val="en-GB"/>
        </w:rPr>
        <w:t>FINAL PROVISIONS</w:t>
      </w:r>
    </w:p>
    <w:p w14:paraId="3B3F560B" w14:textId="77777777" w:rsidR="00310892" w:rsidRPr="006663E2" w:rsidRDefault="00310892" w:rsidP="00C540E2">
      <w:pPr>
        <w:pStyle w:val="ListParagraph"/>
        <w:spacing w:after="120" w:line="240" w:lineRule="auto"/>
        <w:ind w:left="1080"/>
        <w:rPr>
          <w:rFonts w:ascii="Times New Roman" w:hAnsi="Times New Roman" w:cs="Times New Roman"/>
          <w:b/>
          <w:bCs/>
          <w:sz w:val="24"/>
          <w:szCs w:val="24"/>
          <w:lang w:val="en-GB"/>
        </w:rPr>
      </w:pPr>
    </w:p>
    <w:p w14:paraId="6C106786" w14:textId="03BD2423" w:rsidR="00310892" w:rsidRPr="006663E2" w:rsidRDefault="00071089" w:rsidP="00C540E2">
      <w:pPr>
        <w:pStyle w:val="ListParagraph"/>
        <w:numPr>
          <w:ilvl w:val="0"/>
          <w:numId w:val="12"/>
        </w:numPr>
        <w:spacing w:after="120" w:line="240" w:lineRule="auto"/>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The </w:t>
      </w:r>
      <w:r w:rsidR="00A1799F"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pplicant </w:t>
      </w:r>
      <w:r w:rsidR="0059135A" w:rsidRPr="006663E2">
        <w:rPr>
          <w:rFonts w:ascii="Times New Roman" w:hAnsi="Times New Roman" w:cs="Times New Roman"/>
          <w:sz w:val="24"/>
          <w:szCs w:val="24"/>
          <w:lang w:val="en-GB"/>
        </w:rPr>
        <w:t xml:space="preserve">(Project promoter) </w:t>
      </w:r>
      <w:r w:rsidRPr="006663E2">
        <w:rPr>
          <w:rFonts w:ascii="Times New Roman" w:hAnsi="Times New Roman" w:cs="Times New Roman"/>
          <w:sz w:val="24"/>
          <w:szCs w:val="24"/>
          <w:lang w:val="en-GB"/>
        </w:rPr>
        <w:t>may appeal CPMA’s decisions in accordance with the procedure laid down in clause 429 of the MAFR</w:t>
      </w:r>
      <w:r w:rsidR="00371FBE" w:rsidRPr="006663E2">
        <w:rPr>
          <w:rFonts w:ascii="Times New Roman" w:hAnsi="Times New Roman" w:cs="Times New Roman"/>
          <w:sz w:val="24"/>
          <w:szCs w:val="24"/>
          <w:lang w:val="en-GB"/>
        </w:rPr>
        <w:t>.</w:t>
      </w:r>
    </w:p>
    <w:p w14:paraId="32AECD9E" w14:textId="2A1DD263" w:rsidR="00391D41" w:rsidRPr="006663E2" w:rsidRDefault="00071089" w:rsidP="00C540E2">
      <w:pPr>
        <w:pStyle w:val="ListParagraph"/>
        <w:numPr>
          <w:ilvl w:val="0"/>
          <w:numId w:val="12"/>
        </w:numPr>
        <w:spacing w:after="120" w:line="240" w:lineRule="auto"/>
        <w:rPr>
          <w:rFonts w:ascii="Times New Roman" w:hAnsi="Times New Roman" w:cs="Times New Roman"/>
          <w:b/>
          <w:bCs/>
          <w:sz w:val="24"/>
          <w:szCs w:val="24"/>
          <w:lang w:val="en-GB"/>
        </w:rPr>
      </w:pPr>
      <w:r w:rsidRPr="006663E2">
        <w:rPr>
          <w:rFonts w:ascii="Times New Roman" w:hAnsi="Times New Roman" w:cs="Times New Roman"/>
          <w:b/>
          <w:bCs/>
          <w:sz w:val="24"/>
          <w:szCs w:val="24"/>
          <w:lang w:val="en-GB"/>
        </w:rPr>
        <w:t>Annexes to the Guidelines</w:t>
      </w:r>
      <w:r w:rsidR="00310892" w:rsidRPr="006663E2">
        <w:rPr>
          <w:rFonts w:ascii="Times New Roman" w:hAnsi="Times New Roman" w:cs="Times New Roman"/>
          <w:b/>
          <w:bCs/>
          <w:sz w:val="24"/>
          <w:szCs w:val="24"/>
          <w:lang w:val="en-GB"/>
        </w:rPr>
        <w:t>:</w:t>
      </w:r>
    </w:p>
    <w:p w14:paraId="77877123" w14:textId="5EBCE3EB" w:rsidR="00C422E5" w:rsidRPr="006663E2" w:rsidRDefault="008E1CE2"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Methodology / Assistance Mechanism and Working Model Description Form</w:t>
      </w:r>
      <w:r w:rsidR="00C95D5D" w:rsidRPr="006663E2">
        <w:rPr>
          <w:rFonts w:ascii="Times New Roman" w:hAnsi="Times New Roman" w:cs="Times New Roman"/>
          <w:sz w:val="24"/>
          <w:szCs w:val="24"/>
          <w:lang w:val="en-GB"/>
        </w:rPr>
        <w:t>, Annex 1</w:t>
      </w:r>
    </w:p>
    <w:p w14:paraId="66B4554D" w14:textId="21C8C8BE" w:rsidR="00AA0DC3" w:rsidRPr="006663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Typical </w:t>
      </w:r>
      <w:r w:rsidR="00157D96" w:rsidRPr="006663E2">
        <w:rPr>
          <w:rFonts w:ascii="Times New Roman" w:hAnsi="Times New Roman" w:cs="Times New Roman"/>
          <w:sz w:val="24"/>
          <w:szCs w:val="24"/>
          <w:lang w:val="en-GB"/>
        </w:rPr>
        <w:t>P</w:t>
      </w:r>
      <w:r w:rsidRPr="006663E2">
        <w:rPr>
          <w:rFonts w:ascii="Times New Roman" w:hAnsi="Times New Roman" w:cs="Times New Roman"/>
          <w:sz w:val="24"/>
          <w:szCs w:val="24"/>
          <w:lang w:val="en-GB"/>
        </w:rPr>
        <w:t xml:space="preserve">roject </w:t>
      </w:r>
      <w:r w:rsidR="00157D96" w:rsidRPr="006663E2">
        <w:rPr>
          <w:rFonts w:ascii="Times New Roman" w:hAnsi="Times New Roman" w:cs="Times New Roman"/>
          <w:sz w:val="24"/>
          <w:szCs w:val="24"/>
          <w:lang w:val="en-GB"/>
        </w:rPr>
        <w:t>A</w:t>
      </w:r>
      <w:r w:rsidRPr="006663E2">
        <w:rPr>
          <w:rFonts w:ascii="Times New Roman" w:hAnsi="Times New Roman" w:cs="Times New Roman"/>
          <w:sz w:val="24"/>
          <w:szCs w:val="24"/>
          <w:lang w:val="en-GB"/>
        </w:rPr>
        <w:t xml:space="preserve">pplication </w:t>
      </w:r>
      <w:r w:rsidR="00157D96" w:rsidRPr="006663E2">
        <w:rPr>
          <w:rFonts w:ascii="Times New Roman" w:hAnsi="Times New Roman" w:cs="Times New Roman"/>
          <w:sz w:val="24"/>
          <w:szCs w:val="24"/>
          <w:lang w:val="en-GB"/>
        </w:rPr>
        <w:t>F</w:t>
      </w:r>
      <w:r w:rsidRPr="006663E2">
        <w:rPr>
          <w:rFonts w:ascii="Times New Roman" w:hAnsi="Times New Roman" w:cs="Times New Roman"/>
          <w:sz w:val="24"/>
          <w:szCs w:val="24"/>
          <w:lang w:val="en-GB"/>
        </w:rPr>
        <w:t>orm</w:t>
      </w:r>
      <w:r w:rsidR="00AA0DC3"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to be completed via</w:t>
      </w:r>
      <w:r w:rsidR="00AA0DC3"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DMS</w:t>
      </w:r>
      <w:r w:rsidR="00AA0DC3" w:rsidRPr="006663E2">
        <w:rPr>
          <w:rFonts w:ascii="Times New Roman" w:hAnsi="Times New Roman" w:cs="Times New Roman"/>
          <w:sz w:val="24"/>
          <w:szCs w:val="24"/>
          <w:lang w:val="en-GB"/>
        </w:rPr>
        <w:t xml:space="preserve"> online)</w:t>
      </w:r>
      <w:r w:rsidR="0059135A" w:rsidRPr="006663E2">
        <w:rPr>
          <w:rFonts w:ascii="Times New Roman" w:hAnsi="Times New Roman" w:cs="Times New Roman"/>
          <w:sz w:val="24"/>
          <w:szCs w:val="24"/>
          <w:lang w:val="en-GB"/>
        </w:rPr>
        <w:t xml:space="preserve">, Annex </w:t>
      </w:r>
      <w:r w:rsidR="00C95D5D" w:rsidRPr="006663E2">
        <w:rPr>
          <w:rFonts w:ascii="Times New Roman" w:hAnsi="Times New Roman" w:cs="Times New Roman"/>
          <w:sz w:val="24"/>
          <w:szCs w:val="24"/>
          <w:lang w:val="en-GB"/>
        </w:rPr>
        <w:t>2</w:t>
      </w:r>
      <w:r w:rsidR="0059135A" w:rsidRPr="006663E2">
        <w:rPr>
          <w:rFonts w:ascii="Times New Roman" w:hAnsi="Times New Roman" w:cs="Times New Roman"/>
          <w:sz w:val="24"/>
          <w:szCs w:val="24"/>
          <w:lang w:val="en-GB"/>
        </w:rPr>
        <w:t>;</w:t>
      </w:r>
    </w:p>
    <w:p w14:paraId="61AB9726" w14:textId="2EC9DF37" w:rsidR="00B677A9" w:rsidRPr="006663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Administrative </w:t>
      </w:r>
      <w:r w:rsidR="00157D96" w:rsidRPr="006663E2">
        <w:rPr>
          <w:rFonts w:ascii="Times New Roman" w:hAnsi="Times New Roman" w:cs="Times New Roman"/>
          <w:sz w:val="24"/>
          <w:szCs w:val="24"/>
          <w:lang w:val="en-GB"/>
        </w:rPr>
        <w:t>Compliance</w:t>
      </w:r>
      <w:r w:rsidRPr="006663E2">
        <w:rPr>
          <w:rFonts w:ascii="Times New Roman" w:hAnsi="Times New Roman" w:cs="Times New Roman"/>
          <w:sz w:val="24"/>
          <w:szCs w:val="24"/>
          <w:lang w:val="en-GB"/>
        </w:rPr>
        <w:t xml:space="preserve"> Evaluation Methodology</w:t>
      </w:r>
      <w:r w:rsidR="00AA16EB" w:rsidRPr="006663E2">
        <w:rPr>
          <w:rFonts w:ascii="Times New Roman" w:hAnsi="Times New Roman" w:cs="Times New Roman"/>
          <w:sz w:val="24"/>
          <w:szCs w:val="24"/>
          <w:lang w:val="en-GB"/>
        </w:rPr>
        <w:t xml:space="preserve"> (</w:t>
      </w:r>
      <w:r w:rsidRPr="006663E2">
        <w:rPr>
          <w:rFonts w:ascii="Times New Roman" w:hAnsi="Times New Roman" w:cs="Times New Roman"/>
          <w:sz w:val="24"/>
          <w:szCs w:val="24"/>
          <w:lang w:val="en-GB"/>
        </w:rPr>
        <w:t>draft</w:t>
      </w:r>
      <w:r w:rsidR="00AA16EB" w:rsidRPr="006663E2">
        <w:rPr>
          <w:rFonts w:ascii="Times New Roman" w:hAnsi="Times New Roman" w:cs="Times New Roman"/>
          <w:sz w:val="24"/>
          <w:szCs w:val="24"/>
          <w:lang w:val="en-GB"/>
        </w:rPr>
        <w:t>)</w:t>
      </w:r>
      <w:r w:rsidR="0059135A" w:rsidRPr="006663E2">
        <w:rPr>
          <w:rFonts w:ascii="Times New Roman" w:hAnsi="Times New Roman" w:cs="Times New Roman"/>
          <w:sz w:val="24"/>
          <w:szCs w:val="24"/>
          <w:lang w:val="en-GB"/>
        </w:rPr>
        <w:t xml:space="preserve">, Annex </w:t>
      </w:r>
      <w:r w:rsidR="00C95D5D" w:rsidRPr="006663E2">
        <w:rPr>
          <w:rFonts w:ascii="Times New Roman" w:hAnsi="Times New Roman" w:cs="Times New Roman"/>
          <w:sz w:val="24"/>
          <w:szCs w:val="24"/>
          <w:lang w:val="en-GB"/>
        </w:rPr>
        <w:t>3</w:t>
      </w:r>
      <w:r w:rsidR="0059135A" w:rsidRPr="006663E2">
        <w:rPr>
          <w:rFonts w:ascii="Times New Roman" w:hAnsi="Times New Roman" w:cs="Times New Roman"/>
          <w:sz w:val="24"/>
          <w:szCs w:val="24"/>
          <w:lang w:val="en-GB"/>
        </w:rPr>
        <w:t>;</w:t>
      </w:r>
    </w:p>
    <w:p w14:paraId="11CD2B4A" w14:textId="118511AE" w:rsidR="00B677A9" w:rsidRPr="006663E2" w:rsidRDefault="00E06137"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 xml:space="preserve">Eligibility Evaluation </w:t>
      </w:r>
      <w:r w:rsidR="00634866" w:rsidRPr="006663E2">
        <w:rPr>
          <w:rFonts w:ascii="Times New Roman" w:hAnsi="Times New Roman" w:cs="Times New Roman"/>
          <w:sz w:val="24"/>
          <w:szCs w:val="24"/>
          <w:lang w:val="en-GB"/>
        </w:rPr>
        <w:t>Methodology</w:t>
      </w:r>
      <w:r w:rsidR="0059135A" w:rsidRPr="006663E2">
        <w:rPr>
          <w:rFonts w:ascii="Times New Roman" w:hAnsi="Times New Roman" w:cs="Times New Roman"/>
          <w:sz w:val="24"/>
          <w:szCs w:val="24"/>
          <w:lang w:val="en-GB"/>
        </w:rPr>
        <w:t xml:space="preserve">, Annex </w:t>
      </w:r>
      <w:r w:rsidR="00C95D5D" w:rsidRPr="006663E2">
        <w:rPr>
          <w:rFonts w:ascii="Times New Roman" w:hAnsi="Times New Roman" w:cs="Times New Roman"/>
          <w:sz w:val="24"/>
          <w:szCs w:val="24"/>
          <w:lang w:val="en-GB"/>
        </w:rPr>
        <w:t>4</w:t>
      </w:r>
      <w:r w:rsidR="0059135A" w:rsidRPr="006663E2">
        <w:rPr>
          <w:rFonts w:ascii="Times New Roman" w:hAnsi="Times New Roman" w:cs="Times New Roman"/>
          <w:sz w:val="24"/>
          <w:szCs w:val="24"/>
          <w:lang w:val="en-GB"/>
        </w:rPr>
        <w:t>;</w:t>
      </w:r>
    </w:p>
    <w:p w14:paraId="49536F27" w14:textId="39040BBD" w:rsidR="00623799" w:rsidRPr="006663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Benefit and Quality</w:t>
      </w:r>
      <w:r w:rsidR="00157D96" w:rsidRPr="006663E2">
        <w:rPr>
          <w:rFonts w:ascii="Times New Roman" w:hAnsi="Times New Roman" w:cs="Times New Roman"/>
          <w:sz w:val="24"/>
          <w:szCs w:val="24"/>
          <w:lang w:val="en-GB"/>
        </w:rPr>
        <w:t xml:space="preserve"> Evaluation Methodology</w:t>
      </w:r>
      <w:r w:rsidR="0059135A" w:rsidRPr="006663E2">
        <w:rPr>
          <w:rFonts w:ascii="Times New Roman" w:hAnsi="Times New Roman" w:cs="Times New Roman"/>
          <w:sz w:val="24"/>
          <w:szCs w:val="24"/>
          <w:lang w:val="en-GB"/>
        </w:rPr>
        <w:t xml:space="preserve">, Annex </w:t>
      </w:r>
      <w:r w:rsidR="00C95D5D" w:rsidRPr="006663E2">
        <w:rPr>
          <w:rFonts w:ascii="Times New Roman" w:hAnsi="Times New Roman" w:cs="Times New Roman"/>
          <w:sz w:val="24"/>
          <w:szCs w:val="24"/>
          <w:lang w:val="en-GB"/>
        </w:rPr>
        <w:t>5</w:t>
      </w:r>
      <w:r w:rsidR="00623799" w:rsidRPr="006663E2">
        <w:rPr>
          <w:rFonts w:ascii="Times New Roman" w:hAnsi="Times New Roman" w:cs="Times New Roman"/>
          <w:sz w:val="24"/>
          <w:szCs w:val="24"/>
          <w:lang w:val="en-GB"/>
        </w:rPr>
        <w:t>;</w:t>
      </w:r>
    </w:p>
    <w:p w14:paraId="58E5CD0D" w14:textId="6B432F18" w:rsidR="00623799" w:rsidRPr="006663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Methodology for Calculating Monitoring Indicators</w:t>
      </w:r>
      <w:r w:rsidR="009126E7" w:rsidRPr="006663E2">
        <w:rPr>
          <w:rFonts w:ascii="Times New Roman" w:hAnsi="Times New Roman" w:cs="Times New Roman"/>
          <w:sz w:val="24"/>
          <w:szCs w:val="24"/>
          <w:lang w:val="en-GB"/>
        </w:rPr>
        <w:t xml:space="preserve">, Annex </w:t>
      </w:r>
      <w:r w:rsidR="00C95D5D" w:rsidRPr="006663E2">
        <w:rPr>
          <w:rFonts w:ascii="Times New Roman" w:hAnsi="Times New Roman" w:cs="Times New Roman"/>
          <w:sz w:val="24"/>
          <w:szCs w:val="24"/>
          <w:lang w:val="en-GB"/>
        </w:rPr>
        <w:t>6</w:t>
      </w:r>
      <w:r w:rsidR="00623799" w:rsidRPr="006663E2">
        <w:rPr>
          <w:rFonts w:ascii="Times New Roman" w:hAnsi="Times New Roman" w:cs="Times New Roman"/>
          <w:sz w:val="24"/>
          <w:szCs w:val="24"/>
          <w:lang w:val="en-GB"/>
        </w:rPr>
        <w:t>;</w:t>
      </w:r>
    </w:p>
    <w:p w14:paraId="230A4C57" w14:textId="069573FD" w:rsidR="009126E7" w:rsidRPr="006663E2" w:rsidRDefault="00C95D5D" w:rsidP="00C540E2">
      <w:pPr>
        <w:pStyle w:val="ListParagraph"/>
        <w:numPr>
          <w:ilvl w:val="1"/>
          <w:numId w:val="12"/>
        </w:numPr>
        <w:spacing w:after="120" w:line="240" w:lineRule="auto"/>
        <w:ind w:left="1134" w:hanging="850"/>
        <w:rPr>
          <w:rFonts w:ascii="Times New Roman" w:hAnsi="Times New Roman" w:cs="Times New Roman"/>
          <w:sz w:val="24"/>
          <w:szCs w:val="24"/>
          <w:lang w:val="en-GB"/>
        </w:rPr>
      </w:pPr>
      <w:r w:rsidRPr="006663E2">
        <w:rPr>
          <w:rFonts w:ascii="Times New Roman" w:hAnsi="Times New Roman" w:cs="Times New Roman"/>
          <w:sz w:val="24"/>
          <w:szCs w:val="24"/>
          <w:lang w:val="en-GB"/>
        </w:rPr>
        <w:t>Draft Special Conditions of the Project contract, Annex 7;</w:t>
      </w:r>
    </w:p>
    <w:p w14:paraId="326CE854" w14:textId="22BF91AA" w:rsidR="00623799" w:rsidRPr="006663E2" w:rsidRDefault="00634866" w:rsidP="00C540E2">
      <w:pPr>
        <w:pStyle w:val="ListParagraph"/>
        <w:numPr>
          <w:ilvl w:val="1"/>
          <w:numId w:val="12"/>
        </w:numPr>
        <w:spacing w:after="120" w:line="240" w:lineRule="auto"/>
        <w:ind w:left="1134" w:hanging="850"/>
        <w:jc w:val="both"/>
        <w:rPr>
          <w:rFonts w:ascii="Times New Roman" w:hAnsi="Times New Roman" w:cs="Times New Roman"/>
          <w:sz w:val="24"/>
          <w:szCs w:val="24"/>
          <w:lang w:val="en-GB"/>
        </w:rPr>
      </w:pPr>
      <w:r w:rsidRPr="006663E2">
        <w:rPr>
          <w:rFonts w:ascii="Times New Roman" w:hAnsi="Times New Roman" w:cs="Times New Roman"/>
          <w:sz w:val="24"/>
          <w:szCs w:val="24"/>
          <w:lang w:val="en-GB"/>
        </w:rPr>
        <w:t>Recommended Market Research Summary Form and Explanations on its Completion</w:t>
      </w:r>
      <w:r w:rsidR="009126E7" w:rsidRPr="006663E2">
        <w:rPr>
          <w:rFonts w:ascii="Times New Roman" w:hAnsi="Times New Roman" w:cs="Times New Roman"/>
          <w:sz w:val="24"/>
          <w:szCs w:val="24"/>
          <w:lang w:val="en-GB"/>
        </w:rPr>
        <w:t xml:space="preserve">, Annex </w:t>
      </w:r>
      <w:r w:rsidR="00C95D5D" w:rsidRPr="006663E2">
        <w:rPr>
          <w:rFonts w:ascii="Times New Roman" w:hAnsi="Times New Roman" w:cs="Times New Roman"/>
          <w:sz w:val="24"/>
          <w:szCs w:val="24"/>
          <w:lang w:val="en-GB"/>
        </w:rPr>
        <w:t>8.</w:t>
      </w:r>
    </w:p>
    <w:p w14:paraId="1AD381C2" w14:textId="77777777" w:rsidR="00623799" w:rsidRPr="006663E2" w:rsidRDefault="00623799" w:rsidP="00C540E2">
      <w:pPr>
        <w:spacing w:after="120" w:line="240" w:lineRule="auto"/>
        <w:jc w:val="both"/>
        <w:rPr>
          <w:rFonts w:ascii="Times New Roman" w:hAnsi="Times New Roman" w:cs="Times New Roman"/>
          <w:sz w:val="24"/>
          <w:szCs w:val="24"/>
          <w:lang w:val="en-GB"/>
        </w:rPr>
      </w:pPr>
    </w:p>
    <w:p w14:paraId="731B7C80" w14:textId="77777777" w:rsidR="00B677A9" w:rsidRPr="006663E2" w:rsidRDefault="00B677A9" w:rsidP="00C540E2">
      <w:pPr>
        <w:spacing w:after="120" w:line="240" w:lineRule="auto"/>
        <w:jc w:val="both"/>
        <w:rPr>
          <w:rFonts w:ascii="Times New Roman" w:hAnsi="Times New Roman" w:cs="Times New Roman"/>
          <w:b/>
          <w:bCs/>
          <w:sz w:val="24"/>
          <w:szCs w:val="24"/>
          <w:lang w:val="en-GB"/>
        </w:rPr>
      </w:pPr>
    </w:p>
    <w:sectPr w:rsidR="00B677A9" w:rsidRPr="006663E2" w:rsidSect="00B77D1B">
      <w:footerReference w:type="default" r:id="rId21"/>
      <w:pgSz w:w="12240" w:h="15840"/>
      <w:pgMar w:top="1134" w:right="567" w:bottom="851" w:left="1701" w:header="720" w:footer="416"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A74933" w16cex:dateUtc="2020-09-21T21:07:35.317Z"/>
  <w16cex:commentExtensible w16cex:durableId="0A118B19" w16cex:dateUtc="2020-09-21T21:08:25.99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C9329" w16cid:durableId="2304B0B1"/>
  <w16cid:commentId w16cid:paraId="47B87918" w16cid:durableId="230B2AD6"/>
  <w16cid:commentId w16cid:paraId="6224DE12" w16cid:durableId="230B1FE9"/>
  <w16cid:commentId w16cid:paraId="24CBE450" w16cid:durableId="2304B241"/>
  <w16cid:commentId w16cid:paraId="0C3F416D" w16cid:durableId="23048ED3"/>
  <w16cid:commentId w16cid:paraId="3EEED6D6" w16cid:durableId="230B2A31"/>
  <w16cid:commentId w16cid:paraId="0B2E9883" w16cid:durableId="231889F7"/>
  <w16cid:commentId w16cid:paraId="7359CDBD" w16cid:durableId="230B2CAD"/>
  <w16cid:commentId w16cid:paraId="1D7AF5C7" w16cid:durableId="230B29C1"/>
  <w16cid:commentId w16cid:paraId="07EB14F9" w16cid:durableId="230B29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CCCAD" w14:textId="77777777" w:rsidR="00923E8B" w:rsidRDefault="00923E8B" w:rsidP="00FB452A">
      <w:pPr>
        <w:spacing w:after="0" w:line="240" w:lineRule="auto"/>
      </w:pPr>
      <w:r>
        <w:separator/>
      </w:r>
    </w:p>
  </w:endnote>
  <w:endnote w:type="continuationSeparator" w:id="0">
    <w:p w14:paraId="1B72E422" w14:textId="77777777" w:rsidR="00923E8B" w:rsidRDefault="00923E8B" w:rsidP="00FB452A">
      <w:pPr>
        <w:spacing w:after="0" w:line="240" w:lineRule="auto"/>
      </w:pPr>
      <w:r>
        <w:continuationSeparator/>
      </w:r>
    </w:p>
  </w:endnote>
  <w:endnote w:type="continuationNotice" w:id="1">
    <w:p w14:paraId="106558A8" w14:textId="77777777" w:rsidR="00923E8B" w:rsidRDefault="00923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53EE6D94" w14:textId="5E10603D" w:rsidR="00C422E5" w:rsidRDefault="00C422E5">
        <w:pPr>
          <w:pStyle w:val="Footer"/>
          <w:jc w:val="right"/>
        </w:pPr>
        <w:r>
          <w:fldChar w:fldCharType="begin"/>
        </w:r>
        <w:r>
          <w:instrText xml:space="preserve"> PAGE   \* MERGEFORMAT </w:instrText>
        </w:r>
        <w:r>
          <w:fldChar w:fldCharType="separate"/>
        </w:r>
        <w:r w:rsidR="009048BB">
          <w:rPr>
            <w:noProof/>
          </w:rPr>
          <w:t>15</w:t>
        </w:r>
        <w:r>
          <w:rPr>
            <w:noProof/>
          </w:rPr>
          <w:fldChar w:fldCharType="end"/>
        </w:r>
      </w:p>
    </w:sdtContent>
  </w:sdt>
  <w:p w14:paraId="37B5BF8F" w14:textId="77777777" w:rsidR="00C422E5" w:rsidRDefault="00C4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D2535" w14:textId="77777777" w:rsidR="00923E8B" w:rsidRDefault="00923E8B" w:rsidP="00FB452A">
      <w:pPr>
        <w:spacing w:after="0" w:line="240" w:lineRule="auto"/>
      </w:pPr>
      <w:r>
        <w:separator/>
      </w:r>
    </w:p>
  </w:footnote>
  <w:footnote w:type="continuationSeparator" w:id="0">
    <w:p w14:paraId="5515CB8B" w14:textId="77777777" w:rsidR="00923E8B" w:rsidRDefault="00923E8B" w:rsidP="00FB452A">
      <w:pPr>
        <w:spacing w:after="0" w:line="240" w:lineRule="auto"/>
      </w:pPr>
      <w:r>
        <w:continuationSeparator/>
      </w:r>
    </w:p>
  </w:footnote>
  <w:footnote w:type="continuationNotice" w:id="1">
    <w:p w14:paraId="50F164BB" w14:textId="77777777" w:rsidR="00923E8B" w:rsidRDefault="00923E8B">
      <w:pPr>
        <w:spacing w:after="0" w:line="240" w:lineRule="auto"/>
      </w:pPr>
    </w:p>
  </w:footnote>
  <w:footnote w:id="2">
    <w:p w14:paraId="3A528176" w14:textId="1975FDD3" w:rsidR="007E1968" w:rsidRPr="00F10980" w:rsidRDefault="007E1968" w:rsidP="007E1968">
      <w:pPr>
        <w:pStyle w:val="FootnoteText"/>
        <w:rPr>
          <w:rFonts w:ascii="Times New Roman" w:hAnsi="Times New Roman" w:cs="Times New Roman"/>
          <w:lang w:val="en-GB"/>
        </w:rPr>
      </w:pPr>
      <w:r w:rsidRPr="00F10980">
        <w:rPr>
          <w:rStyle w:val="FootnoteReference"/>
          <w:rFonts w:ascii="Times New Roman" w:hAnsi="Times New Roman" w:cs="Times New Roman"/>
        </w:rPr>
        <w:footnoteRef/>
      </w:r>
      <w:r w:rsidRPr="00F10980">
        <w:rPr>
          <w:rFonts w:ascii="Times New Roman" w:hAnsi="Times New Roman" w:cs="Times New Roman"/>
        </w:rPr>
        <w:t xml:space="preserve"> </w:t>
      </w:r>
      <w:r w:rsidRPr="00F10980">
        <w:rPr>
          <w:rFonts w:ascii="Times New Roman" w:hAnsi="Times New Roman" w:cs="Times New Roman"/>
          <w:lang w:val="en-GB"/>
        </w:rPr>
        <w:t>To be measured by means of a survey administered on behalf of the Financial Mechanism Office</w:t>
      </w:r>
      <w:r w:rsidR="00F10980" w:rsidRPr="00F10980">
        <w:rPr>
          <w:rFonts w:ascii="Times New Roman" w:hAnsi="Times New Roman" w:cs="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A0C"/>
    <w:multiLevelType w:val="hybridMultilevel"/>
    <w:tmpl w:val="6FCEC122"/>
    <w:lvl w:ilvl="0" w:tplc="FCCE0232">
      <w:start w:val="1"/>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071438B2"/>
    <w:multiLevelType w:val="hybridMultilevel"/>
    <w:tmpl w:val="7262AA22"/>
    <w:lvl w:ilvl="0" w:tplc="0427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0303E9F"/>
    <w:multiLevelType w:val="multilevel"/>
    <w:tmpl w:val="E036F6EC"/>
    <w:lvl w:ilvl="0">
      <w:start w:val="3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7F7FB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96451C"/>
    <w:multiLevelType w:val="multilevel"/>
    <w:tmpl w:val="4C3AD02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3CA13A67"/>
    <w:multiLevelType w:val="multilevel"/>
    <w:tmpl w:val="40904CEE"/>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AB3B09"/>
    <w:multiLevelType w:val="multilevel"/>
    <w:tmpl w:val="DE96A5E2"/>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B906F9"/>
    <w:multiLevelType w:val="hybridMultilevel"/>
    <w:tmpl w:val="86526160"/>
    <w:lvl w:ilvl="0" w:tplc="25D6F84E">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A0F47"/>
    <w:multiLevelType w:val="hybridMultilevel"/>
    <w:tmpl w:val="A732C702"/>
    <w:lvl w:ilvl="0" w:tplc="9AECF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3"/>
  </w:num>
  <w:num w:numId="5">
    <w:abstractNumId w:val="3"/>
  </w:num>
  <w:num w:numId="6">
    <w:abstractNumId w:val="8"/>
  </w:num>
  <w:num w:numId="7">
    <w:abstractNumId w:val="1"/>
  </w:num>
  <w:num w:numId="8">
    <w:abstractNumId w:val="14"/>
  </w:num>
  <w:num w:numId="9">
    <w:abstractNumId w:val="10"/>
  </w:num>
  <w:num w:numId="10">
    <w:abstractNumId w:val="11"/>
  </w:num>
  <w:num w:numId="11">
    <w:abstractNumId w:val="4"/>
  </w:num>
  <w:num w:numId="12">
    <w:abstractNumId w:val="2"/>
  </w:num>
  <w:num w:numId="13">
    <w:abstractNumId w:val="12"/>
  </w:num>
  <w:num w:numId="14">
    <w:abstractNumId w:val="0"/>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2B9F"/>
    <w:rsid w:val="00006253"/>
    <w:rsid w:val="000159B8"/>
    <w:rsid w:val="0002013F"/>
    <w:rsid w:val="00020677"/>
    <w:rsid w:val="00023C88"/>
    <w:rsid w:val="00025083"/>
    <w:rsid w:val="000250F7"/>
    <w:rsid w:val="0002688B"/>
    <w:rsid w:val="0002732F"/>
    <w:rsid w:val="0003089B"/>
    <w:rsid w:val="00036725"/>
    <w:rsid w:val="000400E1"/>
    <w:rsid w:val="0004114B"/>
    <w:rsid w:val="00043FBE"/>
    <w:rsid w:val="00045A83"/>
    <w:rsid w:val="00045F33"/>
    <w:rsid w:val="00047308"/>
    <w:rsid w:val="00051241"/>
    <w:rsid w:val="00051881"/>
    <w:rsid w:val="00053B4F"/>
    <w:rsid w:val="00055810"/>
    <w:rsid w:val="000558A3"/>
    <w:rsid w:val="00056A2C"/>
    <w:rsid w:val="00056B2E"/>
    <w:rsid w:val="00061C59"/>
    <w:rsid w:val="00063A27"/>
    <w:rsid w:val="000647ED"/>
    <w:rsid w:val="000660C7"/>
    <w:rsid w:val="00071089"/>
    <w:rsid w:val="00073FA7"/>
    <w:rsid w:val="00080596"/>
    <w:rsid w:val="00081450"/>
    <w:rsid w:val="000820BC"/>
    <w:rsid w:val="00082397"/>
    <w:rsid w:val="00083A18"/>
    <w:rsid w:val="00084CE6"/>
    <w:rsid w:val="00090184"/>
    <w:rsid w:val="00091458"/>
    <w:rsid w:val="00091908"/>
    <w:rsid w:val="00092105"/>
    <w:rsid w:val="00093F16"/>
    <w:rsid w:val="0009436A"/>
    <w:rsid w:val="000947D8"/>
    <w:rsid w:val="00094C89"/>
    <w:rsid w:val="00094DFA"/>
    <w:rsid w:val="00095024"/>
    <w:rsid w:val="00097A0D"/>
    <w:rsid w:val="000A182A"/>
    <w:rsid w:val="000A2964"/>
    <w:rsid w:val="000A7877"/>
    <w:rsid w:val="000B5C4E"/>
    <w:rsid w:val="000B711F"/>
    <w:rsid w:val="000B7B8F"/>
    <w:rsid w:val="000B7D8A"/>
    <w:rsid w:val="000C0344"/>
    <w:rsid w:val="000C1E1C"/>
    <w:rsid w:val="000C2255"/>
    <w:rsid w:val="000C37DD"/>
    <w:rsid w:val="000D13EB"/>
    <w:rsid w:val="000D3012"/>
    <w:rsid w:val="000D3CEE"/>
    <w:rsid w:val="000D3F65"/>
    <w:rsid w:val="000D75F9"/>
    <w:rsid w:val="000D7856"/>
    <w:rsid w:val="000E172A"/>
    <w:rsid w:val="000E177A"/>
    <w:rsid w:val="000E706C"/>
    <w:rsid w:val="000F081F"/>
    <w:rsid w:val="000F28A1"/>
    <w:rsid w:val="000F3E30"/>
    <w:rsid w:val="000F3FF1"/>
    <w:rsid w:val="000F5AB2"/>
    <w:rsid w:val="0010000D"/>
    <w:rsid w:val="00101A72"/>
    <w:rsid w:val="00106AC2"/>
    <w:rsid w:val="00114FF4"/>
    <w:rsid w:val="00123508"/>
    <w:rsid w:val="00123671"/>
    <w:rsid w:val="0012370B"/>
    <w:rsid w:val="00125BC6"/>
    <w:rsid w:val="00126BFE"/>
    <w:rsid w:val="00127934"/>
    <w:rsid w:val="00130AE4"/>
    <w:rsid w:val="00132151"/>
    <w:rsid w:val="0013251E"/>
    <w:rsid w:val="00132BD3"/>
    <w:rsid w:val="00132E7A"/>
    <w:rsid w:val="001332C5"/>
    <w:rsid w:val="00143627"/>
    <w:rsid w:val="001438E5"/>
    <w:rsid w:val="001448BE"/>
    <w:rsid w:val="00147312"/>
    <w:rsid w:val="001477B7"/>
    <w:rsid w:val="00151123"/>
    <w:rsid w:val="0015180B"/>
    <w:rsid w:val="00153C79"/>
    <w:rsid w:val="00155612"/>
    <w:rsid w:val="00156EF9"/>
    <w:rsid w:val="00157D96"/>
    <w:rsid w:val="00163A3E"/>
    <w:rsid w:val="001647C9"/>
    <w:rsid w:val="001655E8"/>
    <w:rsid w:val="00166111"/>
    <w:rsid w:val="0016628A"/>
    <w:rsid w:val="00171573"/>
    <w:rsid w:val="001718ED"/>
    <w:rsid w:val="00171B84"/>
    <w:rsid w:val="00174AE9"/>
    <w:rsid w:val="0017538A"/>
    <w:rsid w:val="00176739"/>
    <w:rsid w:val="00177A5E"/>
    <w:rsid w:val="00183DA1"/>
    <w:rsid w:val="001A0263"/>
    <w:rsid w:val="001A08BD"/>
    <w:rsid w:val="001A1948"/>
    <w:rsid w:val="001A272D"/>
    <w:rsid w:val="001A50D8"/>
    <w:rsid w:val="001A7CE0"/>
    <w:rsid w:val="001B016A"/>
    <w:rsid w:val="001B2B16"/>
    <w:rsid w:val="001B4A60"/>
    <w:rsid w:val="001B57B5"/>
    <w:rsid w:val="001C18FD"/>
    <w:rsid w:val="001C4BA6"/>
    <w:rsid w:val="001C73FF"/>
    <w:rsid w:val="001C79CA"/>
    <w:rsid w:val="001D4876"/>
    <w:rsid w:val="001E17EA"/>
    <w:rsid w:val="001E243D"/>
    <w:rsid w:val="001E59D8"/>
    <w:rsid w:val="001E60B8"/>
    <w:rsid w:val="001E77E2"/>
    <w:rsid w:val="001F35A2"/>
    <w:rsid w:val="001F399C"/>
    <w:rsid w:val="001F401E"/>
    <w:rsid w:val="001F723C"/>
    <w:rsid w:val="00200814"/>
    <w:rsid w:val="002016D2"/>
    <w:rsid w:val="0020281F"/>
    <w:rsid w:val="0020623E"/>
    <w:rsid w:val="00210607"/>
    <w:rsid w:val="00210AC5"/>
    <w:rsid w:val="002171D6"/>
    <w:rsid w:val="00222EC2"/>
    <w:rsid w:val="00223331"/>
    <w:rsid w:val="00224E4B"/>
    <w:rsid w:val="002255CC"/>
    <w:rsid w:val="002260C7"/>
    <w:rsid w:val="002275BC"/>
    <w:rsid w:val="002336C5"/>
    <w:rsid w:val="00234C53"/>
    <w:rsid w:val="0023625C"/>
    <w:rsid w:val="002363C5"/>
    <w:rsid w:val="00242A43"/>
    <w:rsid w:val="00243717"/>
    <w:rsid w:val="00246544"/>
    <w:rsid w:val="00246F24"/>
    <w:rsid w:val="00247752"/>
    <w:rsid w:val="00251A96"/>
    <w:rsid w:val="00253415"/>
    <w:rsid w:val="002541E9"/>
    <w:rsid w:val="00264ADF"/>
    <w:rsid w:val="0027058E"/>
    <w:rsid w:val="00273FB4"/>
    <w:rsid w:val="00277974"/>
    <w:rsid w:val="00277B5E"/>
    <w:rsid w:val="00277B9C"/>
    <w:rsid w:val="00277F59"/>
    <w:rsid w:val="0028137B"/>
    <w:rsid w:val="002824FE"/>
    <w:rsid w:val="00283189"/>
    <w:rsid w:val="00283761"/>
    <w:rsid w:val="002873F9"/>
    <w:rsid w:val="00287740"/>
    <w:rsid w:val="00290A60"/>
    <w:rsid w:val="0029113F"/>
    <w:rsid w:val="002957C6"/>
    <w:rsid w:val="0029784F"/>
    <w:rsid w:val="00297B15"/>
    <w:rsid w:val="002A2E50"/>
    <w:rsid w:val="002A3FDB"/>
    <w:rsid w:val="002A4993"/>
    <w:rsid w:val="002B245F"/>
    <w:rsid w:val="002B3D48"/>
    <w:rsid w:val="002B4ADD"/>
    <w:rsid w:val="002B7A6F"/>
    <w:rsid w:val="002B7F47"/>
    <w:rsid w:val="002C0DAE"/>
    <w:rsid w:val="002C13C6"/>
    <w:rsid w:val="002C2525"/>
    <w:rsid w:val="002C35AD"/>
    <w:rsid w:val="002C5544"/>
    <w:rsid w:val="002C66EE"/>
    <w:rsid w:val="002C7098"/>
    <w:rsid w:val="002C7E75"/>
    <w:rsid w:val="002D260B"/>
    <w:rsid w:val="002D59A4"/>
    <w:rsid w:val="002D64FD"/>
    <w:rsid w:val="002E04F2"/>
    <w:rsid w:val="002E0FBC"/>
    <w:rsid w:val="002E4480"/>
    <w:rsid w:val="002F12F9"/>
    <w:rsid w:val="002F136E"/>
    <w:rsid w:val="002F13BC"/>
    <w:rsid w:val="00301A50"/>
    <w:rsid w:val="00302769"/>
    <w:rsid w:val="00304668"/>
    <w:rsid w:val="00310892"/>
    <w:rsid w:val="0031747C"/>
    <w:rsid w:val="00320A5E"/>
    <w:rsid w:val="00323C5B"/>
    <w:rsid w:val="00324501"/>
    <w:rsid w:val="00326A6F"/>
    <w:rsid w:val="003314E7"/>
    <w:rsid w:val="00332533"/>
    <w:rsid w:val="00334606"/>
    <w:rsid w:val="00335D6D"/>
    <w:rsid w:val="00341AED"/>
    <w:rsid w:val="00351848"/>
    <w:rsid w:val="00353B72"/>
    <w:rsid w:val="003569DE"/>
    <w:rsid w:val="00357F9B"/>
    <w:rsid w:val="00367A27"/>
    <w:rsid w:val="00370DC1"/>
    <w:rsid w:val="00371FBE"/>
    <w:rsid w:val="00373407"/>
    <w:rsid w:val="0037473A"/>
    <w:rsid w:val="00381353"/>
    <w:rsid w:val="003843FA"/>
    <w:rsid w:val="00387CBB"/>
    <w:rsid w:val="00390AE8"/>
    <w:rsid w:val="0039128B"/>
    <w:rsid w:val="00391D41"/>
    <w:rsid w:val="003A510B"/>
    <w:rsid w:val="003B2259"/>
    <w:rsid w:val="003B284A"/>
    <w:rsid w:val="003B2CB4"/>
    <w:rsid w:val="003B3ADE"/>
    <w:rsid w:val="003B3BB3"/>
    <w:rsid w:val="003B3C5C"/>
    <w:rsid w:val="003B57BA"/>
    <w:rsid w:val="003B5CE1"/>
    <w:rsid w:val="003B761E"/>
    <w:rsid w:val="003C1D87"/>
    <w:rsid w:val="003C47D9"/>
    <w:rsid w:val="003C54EB"/>
    <w:rsid w:val="003C68C0"/>
    <w:rsid w:val="003D6668"/>
    <w:rsid w:val="003E1E22"/>
    <w:rsid w:val="003E49B8"/>
    <w:rsid w:val="003F01D3"/>
    <w:rsid w:val="003F2C1F"/>
    <w:rsid w:val="003F38DD"/>
    <w:rsid w:val="003F5ACC"/>
    <w:rsid w:val="003F61EA"/>
    <w:rsid w:val="003F72D4"/>
    <w:rsid w:val="00401080"/>
    <w:rsid w:val="004010C9"/>
    <w:rsid w:val="004018D3"/>
    <w:rsid w:val="00404D20"/>
    <w:rsid w:val="0040653B"/>
    <w:rsid w:val="00410450"/>
    <w:rsid w:val="004127E9"/>
    <w:rsid w:val="00412C2F"/>
    <w:rsid w:val="004131B1"/>
    <w:rsid w:val="00413A1F"/>
    <w:rsid w:val="004171F5"/>
    <w:rsid w:val="00417A29"/>
    <w:rsid w:val="00417DB9"/>
    <w:rsid w:val="00420DE5"/>
    <w:rsid w:val="0042195D"/>
    <w:rsid w:val="0042470B"/>
    <w:rsid w:val="00425296"/>
    <w:rsid w:val="00431141"/>
    <w:rsid w:val="00431370"/>
    <w:rsid w:val="00431D7B"/>
    <w:rsid w:val="004353E6"/>
    <w:rsid w:val="00440F13"/>
    <w:rsid w:val="00452D1A"/>
    <w:rsid w:val="004603FA"/>
    <w:rsid w:val="004633B4"/>
    <w:rsid w:val="00465308"/>
    <w:rsid w:val="00466FEA"/>
    <w:rsid w:val="004724EE"/>
    <w:rsid w:val="00475BA6"/>
    <w:rsid w:val="00475CCB"/>
    <w:rsid w:val="004857EE"/>
    <w:rsid w:val="00485CCC"/>
    <w:rsid w:val="004934B8"/>
    <w:rsid w:val="00494EE8"/>
    <w:rsid w:val="00497AC5"/>
    <w:rsid w:val="004A3856"/>
    <w:rsid w:val="004A3F44"/>
    <w:rsid w:val="004A4618"/>
    <w:rsid w:val="004A47B7"/>
    <w:rsid w:val="004A4BAD"/>
    <w:rsid w:val="004B009A"/>
    <w:rsid w:val="004B2DB9"/>
    <w:rsid w:val="004B380B"/>
    <w:rsid w:val="004B65F1"/>
    <w:rsid w:val="004B6778"/>
    <w:rsid w:val="004B726B"/>
    <w:rsid w:val="004C608B"/>
    <w:rsid w:val="004C7CA7"/>
    <w:rsid w:val="004C7CA8"/>
    <w:rsid w:val="004D05A3"/>
    <w:rsid w:val="004D13BA"/>
    <w:rsid w:val="004D164D"/>
    <w:rsid w:val="004D3187"/>
    <w:rsid w:val="004D31D3"/>
    <w:rsid w:val="004D5A3A"/>
    <w:rsid w:val="004D749E"/>
    <w:rsid w:val="004E0C05"/>
    <w:rsid w:val="004E2A65"/>
    <w:rsid w:val="004E2F58"/>
    <w:rsid w:val="004E44BB"/>
    <w:rsid w:val="004E6CBC"/>
    <w:rsid w:val="004F334A"/>
    <w:rsid w:val="004F38C6"/>
    <w:rsid w:val="004F4A8D"/>
    <w:rsid w:val="00500767"/>
    <w:rsid w:val="005008AA"/>
    <w:rsid w:val="005029A1"/>
    <w:rsid w:val="00505B4D"/>
    <w:rsid w:val="005111D6"/>
    <w:rsid w:val="00515609"/>
    <w:rsid w:val="005164C2"/>
    <w:rsid w:val="00534309"/>
    <w:rsid w:val="005421F8"/>
    <w:rsid w:val="00545392"/>
    <w:rsid w:val="00554286"/>
    <w:rsid w:val="00554AAC"/>
    <w:rsid w:val="005562D1"/>
    <w:rsid w:val="00560393"/>
    <w:rsid w:val="0056165B"/>
    <w:rsid w:val="0056582C"/>
    <w:rsid w:val="00565B80"/>
    <w:rsid w:val="005674A8"/>
    <w:rsid w:val="005757D4"/>
    <w:rsid w:val="00580ADD"/>
    <w:rsid w:val="0058193A"/>
    <w:rsid w:val="005839B5"/>
    <w:rsid w:val="005871A4"/>
    <w:rsid w:val="00590EC2"/>
    <w:rsid w:val="0059135A"/>
    <w:rsid w:val="005921DA"/>
    <w:rsid w:val="00596BED"/>
    <w:rsid w:val="005A1459"/>
    <w:rsid w:val="005A14FC"/>
    <w:rsid w:val="005B041D"/>
    <w:rsid w:val="005B7022"/>
    <w:rsid w:val="005C149E"/>
    <w:rsid w:val="005C66EC"/>
    <w:rsid w:val="005D0B4B"/>
    <w:rsid w:val="005D0D66"/>
    <w:rsid w:val="005D177A"/>
    <w:rsid w:val="005D2B48"/>
    <w:rsid w:val="005D5A85"/>
    <w:rsid w:val="005D5DCF"/>
    <w:rsid w:val="005D63E0"/>
    <w:rsid w:val="005D67DF"/>
    <w:rsid w:val="005E4C57"/>
    <w:rsid w:val="005E5E21"/>
    <w:rsid w:val="005E6844"/>
    <w:rsid w:val="005F0A71"/>
    <w:rsid w:val="005F14EC"/>
    <w:rsid w:val="005F3565"/>
    <w:rsid w:val="005F5E93"/>
    <w:rsid w:val="005F6F40"/>
    <w:rsid w:val="0060487C"/>
    <w:rsid w:val="0060604E"/>
    <w:rsid w:val="006078BA"/>
    <w:rsid w:val="00623799"/>
    <w:rsid w:val="00625229"/>
    <w:rsid w:val="00630D29"/>
    <w:rsid w:val="00634866"/>
    <w:rsid w:val="00634B7B"/>
    <w:rsid w:val="006353FA"/>
    <w:rsid w:val="00642755"/>
    <w:rsid w:val="00647A04"/>
    <w:rsid w:val="006602F0"/>
    <w:rsid w:val="0066071B"/>
    <w:rsid w:val="0066421B"/>
    <w:rsid w:val="006663E2"/>
    <w:rsid w:val="00667E13"/>
    <w:rsid w:val="00667EF9"/>
    <w:rsid w:val="00673936"/>
    <w:rsid w:val="00673AB3"/>
    <w:rsid w:val="00674F17"/>
    <w:rsid w:val="006759DE"/>
    <w:rsid w:val="00676F88"/>
    <w:rsid w:val="006774F8"/>
    <w:rsid w:val="00683742"/>
    <w:rsid w:val="006843B4"/>
    <w:rsid w:val="00687C9E"/>
    <w:rsid w:val="00687FA3"/>
    <w:rsid w:val="006925DF"/>
    <w:rsid w:val="00692E06"/>
    <w:rsid w:val="00692E7D"/>
    <w:rsid w:val="00694603"/>
    <w:rsid w:val="00697D15"/>
    <w:rsid w:val="006A074F"/>
    <w:rsid w:val="006A4DBC"/>
    <w:rsid w:val="006A67FB"/>
    <w:rsid w:val="006C0305"/>
    <w:rsid w:val="006C07EE"/>
    <w:rsid w:val="006C22D8"/>
    <w:rsid w:val="006C3BED"/>
    <w:rsid w:val="006C5B1F"/>
    <w:rsid w:val="006C5EFB"/>
    <w:rsid w:val="006C690C"/>
    <w:rsid w:val="006C6D84"/>
    <w:rsid w:val="006D2459"/>
    <w:rsid w:val="006D59CF"/>
    <w:rsid w:val="006D6F0C"/>
    <w:rsid w:val="006E168D"/>
    <w:rsid w:val="006E32B9"/>
    <w:rsid w:val="006E7D8A"/>
    <w:rsid w:val="006F0AD9"/>
    <w:rsid w:val="006F13C3"/>
    <w:rsid w:val="006F22A0"/>
    <w:rsid w:val="006F2C2A"/>
    <w:rsid w:val="006F2E03"/>
    <w:rsid w:val="006F36A6"/>
    <w:rsid w:val="006F3E0F"/>
    <w:rsid w:val="006F6E4F"/>
    <w:rsid w:val="00701353"/>
    <w:rsid w:val="007176DC"/>
    <w:rsid w:val="00717A18"/>
    <w:rsid w:val="00720F47"/>
    <w:rsid w:val="007216F5"/>
    <w:rsid w:val="007235D0"/>
    <w:rsid w:val="00723B7A"/>
    <w:rsid w:val="00724313"/>
    <w:rsid w:val="00726455"/>
    <w:rsid w:val="007315EC"/>
    <w:rsid w:val="0073172E"/>
    <w:rsid w:val="00731803"/>
    <w:rsid w:val="007320E5"/>
    <w:rsid w:val="00732E97"/>
    <w:rsid w:val="007334EA"/>
    <w:rsid w:val="007340ED"/>
    <w:rsid w:val="00735DF0"/>
    <w:rsid w:val="00736326"/>
    <w:rsid w:val="00746C2E"/>
    <w:rsid w:val="00746C81"/>
    <w:rsid w:val="007525C1"/>
    <w:rsid w:val="007553F4"/>
    <w:rsid w:val="00757876"/>
    <w:rsid w:val="007627A9"/>
    <w:rsid w:val="007632C9"/>
    <w:rsid w:val="0076591F"/>
    <w:rsid w:val="007679FE"/>
    <w:rsid w:val="00772019"/>
    <w:rsid w:val="00775250"/>
    <w:rsid w:val="00781E55"/>
    <w:rsid w:val="00783426"/>
    <w:rsid w:val="00784027"/>
    <w:rsid w:val="007876D8"/>
    <w:rsid w:val="00790347"/>
    <w:rsid w:val="00791915"/>
    <w:rsid w:val="007934B2"/>
    <w:rsid w:val="0079471E"/>
    <w:rsid w:val="007947F2"/>
    <w:rsid w:val="00795519"/>
    <w:rsid w:val="007A12F5"/>
    <w:rsid w:val="007A220C"/>
    <w:rsid w:val="007A5B7E"/>
    <w:rsid w:val="007A5BB2"/>
    <w:rsid w:val="007B210D"/>
    <w:rsid w:val="007B3410"/>
    <w:rsid w:val="007B6749"/>
    <w:rsid w:val="007C4D72"/>
    <w:rsid w:val="007C5C77"/>
    <w:rsid w:val="007E1968"/>
    <w:rsid w:val="007E1BB8"/>
    <w:rsid w:val="007E5588"/>
    <w:rsid w:val="007E745F"/>
    <w:rsid w:val="007F2EFC"/>
    <w:rsid w:val="007F6614"/>
    <w:rsid w:val="007F66D8"/>
    <w:rsid w:val="007F6B1A"/>
    <w:rsid w:val="007F7F94"/>
    <w:rsid w:val="00802271"/>
    <w:rsid w:val="008030CA"/>
    <w:rsid w:val="0080399F"/>
    <w:rsid w:val="0080450D"/>
    <w:rsid w:val="00804798"/>
    <w:rsid w:val="00804AD4"/>
    <w:rsid w:val="00804DF1"/>
    <w:rsid w:val="008139BE"/>
    <w:rsid w:val="008153F6"/>
    <w:rsid w:val="0081545D"/>
    <w:rsid w:val="00815AD9"/>
    <w:rsid w:val="00816CF8"/>
    <w:rsid w:val="00816F96"/>
    <w:rsid w:val="00821057"/>
    <w:rsid w:val="008212D0"/>
    <w:rsid w:val="00823BA0"/>
    <w:rsid w:val="00830716"/>
    <w:rsid w:val="00833B45"/>
    <w:rsid w:val="00842BB3"/>
    <w:rsid w:val="00846A3C"/>
    <w:rsid w:val="00851DE8"/>
    <w:rsid w:val="008523A7"/>
    <w:rsid w:val="0085447B"/>
    <w:rsid w:val="00861EC9"/>
    <w:rsid w:val="0086559B"/>
    <w:rsid w:val="00872A58"/>
    <w:rsid w:val="0087500D"/>
    <w:rsid w:val="0087528A"/>
    <w:rsid w:val="008818B0"/>
    <w:rsid w:val="00887DD9"/>
    <w:rsid w:val="0089590D"/>
    <w:rsid w:val="00895E54"/>
    <w:rsid w:val="00896A16"/>
    <w:rsid w:val="00897CF2"/>
    <w:rsid w:val="008A0977"/>
    <w:rsid w:val="008A0A91"/>
    <w:rsid w:val="008A29CF"/>
    <w:rsid w:val="008A3055"/>
    <w:rsid w:val="008A52B9"/>
    <w:rsid w:val="008A62B8"/>
    <w:rsid w:val="008C05A4"/>
    <w:rsid w:val="008C2E0A"/>
    <w:rsid w:val="008C4098"/>
    <w:rsid w:val="008C7895"/>
    <w:rsid w:val="008D2A0E"/>
    <w:rsid w:val="008D2C56"/>
    <w:rsid w:val="008D2D91"/>
    <w:rsid w:val="008D7F4F"/>
    <w:rsid w:val="008E04B0"/>
    <w:rsid w:val="008E1CE2"/>
    <w:rsid w:val="008E3742"/>
    <w:rsid w:val="008E6F80"/>
    <w:rsid w:val="008F1CBF"/>
    <w:rsid w:val="008F3D58"/>
    <w:rsid w:val="008F6928"/>
    <w:rsid w:val="00900B54"/>
    <w:rsid w:val="00901952"/>
    <w:rsid w:val="00901C69"/>
    <w:rsid w:val="009043CA"/>
    <w:rsid w:val="009048BB"/>
    <w:rsid w:val="00906909"/>
    <w:rsid w:val="009126E7"/>
    <w:rsid w:val="0092066F"/>
    <w:rsid w:val="00921790"/>
    <w:rsid w:val="00921D89"/>
    <w:rsid w:val="00923E8B"/>
    <w:rsid w:val="00924EF9"/>
    <w:rsid w:val="00926C83"/>
    <w:rsid w:val="00927398"/>
    <w:rsid w:val="00927FF0"/>
    <w:rsid w:val="00931EB8"/>
    <w:rsid w:val="00936041"/>
    <w:rsid w:val="00936ABD"/>
    <w:rsid w:val="00936E85"/>
    <w:rsid w:val="0093795D"/>
    <w:rsid w:val="009407B4"/>
    <w:rsid w:val="009425B3"/>
    <w:rsid w:val="00946A7D"/>
    <w:rsid w:val="0095021D"/>
    <w:rsid w:val="009565A3"/>
    <w:rsid w:val="009614BB"/>
    <w:rsid w:val="00965CA4"/>
    <w:rsid w:val="00967887"/>
    <w:rsid w:val="009744CB"/>
    <w:rsid w:val="00976B29"/>
    <w:rsid w:val="00980CC5"/>
    <w:rsid w:val="0098287E"/>
    <w:rsid w:val="009869DB"/>
    <w:rsid w:val="00990D74"/>
    <w:rsid w:val="00992429"/>
    <w:rsid w:val="00995B7D"/>
    <w:rsid w:val="009A13A0"/>
    <w:rsid w:val="009A53E7"/>
    <w:rsid w:val="009A5FF7"/>
    <w:rsid w:val="009A714B"/>
    <w:rsid w:val="009A7C9D"/>
    <w:rsid w:val="009B0DA9"/>
    <w:rsid w:val="009C1592"/>
    <w:rsid w:val="009C21BE"/>
    <w:rsid w:val="009C3167"/>
    <w:rsid w:val="009C6CBC"/>
    <w:rsid w:val="009C7736"/>
    <w:rsid w:val="009C7D98"/>
    <w:rsid w:val="009D2017"/>
    <w:rsid w:val="009D2933"/>
    <w:rsid w:val="009D46B6"/>
    <w:rsid w:val="009E4C28"/>
    <w:rsid w:val="009E67C7"/>
    <w:rsid w:val="009F1080"/>
    <w:rsid w:val="009F4026"/>
    <w:rsid w:val="009F4DF9"/>
    <w:rsid w:val="009F7C4A"/>
    <w:rsid w:val="00A01A8F"/>
    <w:rsid w:val="00A0319A"/>
    <w:rsid w:val="00A047A4"/>
    <w:rsid w:val="00A0709C"/>
    <w:rsid w:val="00A1114C"/>
    <w:rsid w:val="00A122E7"/>
    <w:rsid w:val="00A124AD"/>
    <w:rsid w:val="00A1799F"/>
    <w:rsid w:val="00A21E04"/>
    <w:rsid w:val="00A248E4"/>
    <w:rsid w:val="00A24A78"/>
    <w:rsid w:val="00A26834"/>
    <w:rsid w:val="00A27B30"/>
    <w:rsid w:val="00A313C9"/>
    <w:rsid w:val="00A31B09"/>
    <w:rsid w:val="00A3418F"/>
    <w:rsid w:val="00A37997"/>
    <w:rsid w:val="00A4005A"/>
    <w:rsid w:val="00A46041"/>
    <w:rsid w:val="00A46B06"/>
    <w:rsid w:val="00A52559"/>
    <w:rsid w:val="00A54DEB"/>
    <w:rsid w:val="00A5660A"/>
    <w:rsid w:val="00A62CE5"/>
    <w:rsid w:val="00A62E24"/>
    <w:rsid w:val="00A65187"/>
    <w:rsid w:val="00A70F28"/>
    <w:rsid w:val="00A71AFC"/>
    <w:rsid w:val="00A742D3"/>
    <w:rsid w:val="00A7522B"/>
    <w:rsid w:val="00A75CA3"/>
    <w:rsid w:val="00A75D7C"/>
    <w:rsid w:val="00A76225"/>
    <w:rsid w:val="00A82D12"/>
    <w:rsid w:val="00A8311B"/>
    <w:rsid w:val="00A87796"/>
    <w:rsid w:val="00A910AD"/>
    <w:rsid w:val="00A91F23"/>
    <w:rsid w:val="00A9531A"/>
    <w:rsid w:val="00A963E4"/>
    <w:rsid w:val="00A96674"/>
    <w:rsid w:val="00A96D14"/>
    <w:rsid w:val="00A97B66"/>
    <w:rsid w:val="00AA0856"/>
    <w:rsid w:val="00AA0DC3"/>
    <w:rsid w:val="00AA16EB"/>
    <w:rsid w:val="00AA193D"/>
    <w:rsid w:val="00AA4D57"/>
    <w:rsid w:val="00AA62BE"/>
    <w:rsid w:val="00AA6422"/>
    <w:rsid w:val="00AB18F3"/>
    <w:rsid w:val="00AB709F"/>
    <w:rsid w:val="00AB78E5"/>
    <w:rsid w:val="00AC3F45"/>
    <w:rsid w:val="00AC46C0"/>
    <w:rsid w:val="00AE0B40"/>
    <w:rsid w:val="00AE4BE0"/>
    <w:rsid w:val="00AF3098"/>
    <w:rsid w:val="00AF7AAF"/>
    <w:rsid w:val="00B010D7"/>
    <w:rsid w:val="00B02CA8"/>
    <w:rsid w:val="00B04DEC"/>
    <w:rsid w:val="00B05552"/>
    <w:rsid w:val="00B13F98"/>
    <w:rsid w:val="00B145DA"/>
    <w:rsid w:val="00B1490D"/>
    <w:rsid w:val="00B14ECF"/>
    <w:rsid w:val="00B212E6"/>
    <w:rsid w:val="00B316CF"/>
    <w:rsid w:val="00B5045A"/>
    <w:rsid w:val="00B54A53"/>
    <w:rsid w:val="00B55687"/>
    <w:rsid w:val="00B578D9"/>
    <w:rsid w:val="00B60AC6"/>
    <w:rsid w:val="00B614D5"/>
    <w:rsid w:val="00B6310B"/>
    <w:rsid w:val="00B63D26"/>
    <w:rsid w:val="00B64E0A"/>
    <w:rsid w:val="00B677A9"/>
    <w:rsid w:val="00B73962"/>
    <w:rsid w:val="00B73D90"/>
    <w:rsid w:val="00B762E7"/>
    <w:rsid w:val="00B77D1B"/>
    <w:rsid w:val="00B8256C"/>
    <w:rsid w:val="00B91A3D"/>
    <w:rsid w:val="00B92E89"/>
    <w:rsid w:val="00B932E0"/>
    <w:rsid w:val="00BA4C29"/>
    <w:rsid w:val="00BA559F"/>
    <w:rsid w:val="00BA786E"/>
    <w:rsid w:val="00BA7DC5"/>
    <w:rsid w:val="00BB163C"/>
    <w:rsid w:val="00BB7B80"/>
    <w:rsid w:val="00BC3AF0"/>
    <w:rsid w:val="00BC4C88"/>
    <w:rsid w:val="00BC657A"/>
    <w:rsid w:val="00BC6BB7"/>
    <w:rsid w:val="00BD0800"/>
    <w:rsid w:val="00BD1A8E"/>
    <w:rsid w:val="00BD4DAD"/>
    <w:rsid w:val="00BE0417"/>
    <w:rsid w:val="00BE0DC2"/>
    <w:rsid w:val="00BE2281"/>
    <w:rsid w:val="00BE2D50"/>
    <w:rsid w:val="00BE5F24"/>
    <w:rsid w:val="00BF32C7"/>
    <w:rsid w:val="00BF5D75"/>
    <w:rsid w:val="00BF6174"/>
    <w:rsid w:val="00BF6577"/>
    <w:rsid w:val="00C04519"/>
    <w:rsid w:val="00C07B09"/>
    <w:rsid w:val="00C112A3"/>
    <w:rsid w:val="00C12E9A"/>
    <w:rsid w:val="00C12EA0"/>
    <w:rsid w:val="00C17ABE"/>
    <w:rsid w:val="00C2069B"/>
    <w:rsid w:val="00C218AF"/>
    <w:rsid w:val="00C2302E"/>
    <w:rsid w:val="00C24779"/>
    <w:rsid w:val="00C25221"/>
    <w:rsid w:val="00C36917"/>
    <w:rsid w:val="00C40C8A"/>
    <w:rsid w:val="00C40DC8"/>
    <w:rsid w:val="00C42228"/>
    <w:rsid w:val="00C422E5"/>
    <w:rsid w:val="00C44805"/>
    <w:rsid w:val="00C44A3D"/>
    <w:rsid w:val="00C457ED"/>
    <w:rsid w:val="00C50BDF"/>
    <w:rsid w:val="00C51403"/>
    <w:rsid w:val="00C523B6"/>
    <w:rsid w:val="00C540E2"/>
    <w:rsid w:val="00C65803"/>
    <w:rsid w:val="00C71ADC"/>
    <w:rsid w:val="00C834B0"/>
    <w:rsid w:val="00C900F5"/>
    <w:rsid w:val="00C90354"/>
    <w:rsid w:val="00C90EC6"/>
    <w:rsid w:val="00C92BF7"/>
    <w:rsid w:val="00C95D5D"/>
    <w:rsid w:val="00C97DD4"/>
    <w:rsid w:val="00CA352C"/>
    <w:rsid w:val="00CA6C2A"/>
    <w:rsid w:val="00CA6F9A"/>
    <w:rsid w:val="00CA7E04"/>
    <w:rsid w:val="00CB4745"/>
    <w:rsid w:val="00CB6F68"/>
    <w:rsid w:val="00CC2F4D"/>
    <w:rsid w:val="00CC3C92"/>
    <w:rsid w:val="00CC424B"/>
    <w:rsid w:val="00CC6BA2"/>
    <w:rsid w:val="00CC7292"/>
    <w:rsid w:val="00CD220D"/>
    <w:rsid w:val="00CD36DC"/>
    <w:rsid w:val="00CE2897"/>
    <w:rsid w:val="00CE4396"/>
    <w:rsid w:val="00CE6294"/>
    <w:rsid w:val="00CF09AC"/>
    <w:rsid w:val="00CF3070"/>
    <w:rsid w:val="00CF315C"/>
    <w:rsid w:val="00CF4C78"/>
    <w:rsid w:val="00CF5321"/>
    <w:rsid w:val="00D036F3"/>
    <w:rsid w:val="00D04494"/>
    <w:rsid w:val="00D07FCF"/>
    <w:rsid w:val="00D10CAB"/>
    <w:rsid w:val="00D115A5"/>
    <w:rsid w:val="00D12B52"/>
    <w:rsid w:val="00D1414F"/>
    <w:rsid w:val="00D1537A"/>
    <w:rsid w:val="00D1795C"/>
    <w:rsid w:val="00D201B2"/>
    <w:rsid w:val="00D2562A"/>
    <w:rsid w:val="00D26CC7"/>
    <w:rsid w:val="00D30FB9"/>
    <w:rsid w:val="00D329BB"/>
    <w:rsid w:val="00D33B66"/>
    <w:rsid w:val="00D40791"/>
    <w:rsid w:val="00D41BEC"/>
    <w:rsid w:val="00D42D2F"/>
    <w:rsid w:val="00D451E1"/>
    <w:rsid w:val="00D45FF2"/>
    <w:rsid w:val="00D464FD"/>
    <w:rsid w:val="00D4721E"/>
    <w:rsid w:val="00D544DF"/>
    <w:rsid w:val="00D71697"/>
    <w:rsid w:val="00D737B5"/>
    <w:rsid w:val="00D75EDF"/>
    <w:rsid w:val="00D7600A"/>
    <w:rsid w:val="00D81595"/>
    <w:rsid w:val="00D8406C"/>
    <w:rsid w:val="00D92490"/>
    <w:rsid w:val="00D941C2"/>
    <w:rsid w:val="00D944FD"/>
    <w:rsid w:val="00D97015"/>
    <w:rsid w:val="00DA0F61"/>
    <w:rsid w:val="00DA181A"/>
    <w:rsid w:val="00DA3AF3"/>
    <w:rsid w:val="00DA6450"/>
    <w:rsid w:val="00DA75AF"/>
    <w:rsid w:val="00DB309D"/>
    <w:rsid w:val="00DB31B4"/>
    <w:rsid w:val="00DB4104"/>
    <w:rsid w:val="00DC0ED3"/>
    <w:rsid w:val="00DC23D1"/>
    <w:rsid w:val="00DC2D7F"/>
    <w:rsid w:val="00DC3107"/>
    <w:rsid w:val="00DC6CE2"/>
    <w:rsid w:val="00DC7128"/>
    <w:rsid w:val="00DD0590"/>
    <w:rsid w:val="00DD0FAF"/>
    <w:rsid w:val="00DD4CE6"/>
    <w:rsid w:val="00DD650A"/>
    <w:rsid w:val="00DE2785"/>
    <w:rsid w:val="00DF0461"/>
    <w:rsid w:val="00DF179C"/>
    <w:rsid w:val="00DF48A5"/>
    <w:rsid w:val="00DF5B33"/>
    <w:rsid w:val="00E06137"/>
    <w:rsid w:val="00E06AFE"/>
    <w:rsid w:val="00E07B9E"/>
    <w:rsid w:val="00E105C0"/>
    <w:rsid w:val="00E1296A"/>
    <w:rsid w:val="00E14952"/>
    <w:rsid w:val="00E238C1"/>
    <w:rsid w:val="00E241F5"/>
    <w:rsid w:val="00E25302"/>
    <w:rsid w:val="00E25FB6"/>
    <w:rsid w:val="00E326A8"/>
    <w:rsid w:val="00E328B0"/>
    <w:rsid w:val="00E36642"/>
    <w:rsid w:val="00E37687"/>
    <w:rsid w:val="00E419C0"/>
    <w:rsid w:val="00E456B4"/>
    <w:rsid w:val="00E6018A"/>
    <w:rsid w:val="00E63496"/>
    <w:rsid w:val="00E66E2B"/>
    <w:rsid w:val="00E7348E"/>
    <w:rsid w:val="00E74AF9"/>
    <w:rsid w:val="00E755C8"/>
    <w:rsid w:val="00E84060"/>
    <w:rsid w:val="00E85623"/>
    <w:rsid w:val="00E871F1"/>
    <w:rsid w:val="00E9054A"/>
    <w:rsid w:val="00E908F0"/>
    <w:rsid w:val="00E929AB"/>
    <w:rsid w:val="00E93306"/>
    <w:rsid w:val="00E93A1B"/>
    <w:rsid w:val="00E95D83"/>
    <w:rsid w:val="00E96983"/>
    <w:rsid w:val="00E97D0B"/>
    <w:rsid w:val="00EA2F91"/>
    <w:rsid w:val="00EA3827"/>
    <w:rsid w:val="00EA3AE4"/>
    <w:rsid w:val="00EA6E4A"/>
    <w:rsid w:val="00EB18CC"/>
    <w:rsid w:val="00EB3C4A"/>
    <w:rsid w:val="00EB460C"/>
    <w:rsid w:val="00EB5610"/>
    <w:rsid w:val="00EB686E"/>
    <w:rsid w:val="00EC246D"/>
    <w:rsid w:val="00EC366F"/>
    <w:rsid w:val="00EC533A"/>
    <w:rsid w:val="00ED248E"/>
    <w:rsid w:val="00ED6F56"/>
    <w:rsid w:val="00EE094C"/>
    <w:rsid w:val="00EE0AC3"/>
    <w:rsid w:val="00EE2273"/>
    <w:rsid w:val="00EE6379"/>
    <w:rsid w:val="00EE70E0"/>
    <w:rsid w:val="00EE7704"/>
    <w:rsid w:val="00EE7844"/>
    <w:rsid w:val="00EF0113"/>
    <w:rsid w:val="00EF0C48"/>
    <w:rsid w:val="00EF6F05"/>
    <w:rsid w:val="00EF7000"/>
    <w:rsid w:val="00F00AE1"/>
    <w:rsid w:val="00F03635"/>
    <w:rsid w:val="00F0464B"/>
    <w:rsid w:val="00F04850"/>
    <w:rsid w:val="00F05027"/>
    <w:rsid w:val="00F0542D"/>
    <w:rsid w:val="00F071C1"/>
    <w:rsid w:val="00F107E7"/>
    <w:rsid w:val="00F10980"/>
    <w:rsid w:val="00F11117"/>
    <w:rsid w:val="00F14F81"/>
    <w:rsid w:val="00F1783E"/>
    <w:rsid w:val="00F20647"/>
    <w:rsid w:val="00F23CCE"/>
    <w:rsid w:val="00F2603A"/>
    <w:rsid w:val="00F2769A"/>
    <w:rsid w:val="00F320BA"/>
    <w:rsid w:val="00F354CB"/>
    <w:rsid w:val="00F37A93"/>
    <w:rsid w:val="00F4058A"/>
    <w:rsid w:val="00F441FB"/>
    <w:rsid w:val="00F50355"/>
    <w:rsid w:val="00F52E84"/>
    <w:rsid w:val="00F70B3F"/>
    <w:rsid w:val="00F710B8"/>
    <w:rsid w:val="00F75518"/>
    <w:rsid w:val="00F80389"/>
    <w:rsid w:val="00F82D0C"/>
    <w:rsid w:val="00F861E9"/>
    <w:rsid w:val="00F90CBF"/>
    <w:rsid w:val="00F913C1"/>
    <w:rsid w:val="00F92261"/>
    <w:rsid w:val="00F924D1"/>
    <w:rsid w:val="00F92859"/>
    <w:rsid w:val="00F94095"/>
    <w:rsid w:val="00F948A8"/>
    <w:rsid w:val="00F959E8"/>
    <w:rsid w:val="00FA2049"/>
    <w:rsid w:val="00FA3EA8"/>
    <w:rsid w:val="00FA5788"/>
    <w:rsid w:val="00FB0782"/>
    <w:rsid w:val="00FB251A"/>
    <w:rsid w:val="00FB452A"/>
    <w:rsid w:val="00FC0F21"/>
    <w:rsid w:val="00FC6370"/>
    <w:rsid w:val="00FD0F59"/>
    <w:rsid w:val="00FD25EF"/>
    <w:rsid w:val="00FD487E"/>
    <w:rsid w:val="00FE08E9"/>
    <w:rsid w:val="00FE17F5"/>
    <w:rsid w:val="00FE1CB9"/>
    <w:rsid w:val="00FE236C"/>
    <w:rsid w:val="00FE4DFE"/>
    <w:rsid w:val="00FF40CF"/>
    <w:rsid w:val="00FF634A"/>
    <w:rsid w:val="00FF7C1C"/>
    <w:rsid w:val="05BA144B"/>
    <w:rsid w:val="0F6882FB"/>
    <w:rsid w:val="110854C7"/>
    <w:rsid w:val="1777C91C"/>
    <w:rsid w:val="4A837996"/>
    <w:rsid w:val="4E5AF8AC"/>
    <w:rsid w:val="6A255F6B"/>
    <w:rsid w:val="7E699B7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77FD41"/>
  <w15:chartTrackingRefBased/>
  <w15:docId w15:val="{EE322727-B190-4497-A80E-A7EBA44B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1">
    <w:name w:val="heading 1"/>
    <w:basedOn w:val="Normal"/>
    <w:link w:val="Heading1Char"/>
    <w:uiPriority w:val="9"/>
    <w:qFormat/>
    <w:rsid w:val="00EA3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UnresolvedMention1">
    <w:name w:val="Unresolved Mention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character" w:customStyle="1" w:styleId="UnresolvedMention2">
    <w:name w:val="Unresolved Mention2"/>
    <w:basedOn w:val="DefaultParagraphFont"/>
    <w:uiPriority w:val="99"/>
    <w:semiHidden/>
    <w:unhideWhenUsed/>
    <w:rsid w:val="00390AE8"/>
    <w:rPr>
      <w:color w:val="605E5C"/>
      <w:shd w:val="clear" w:color="auto" w:fill="E1DFDD"/>
    </w:rPr>
  </w:style>
  <w:style w:type="character" w:customStyle="1" w:styleId="Heading1Char">
    <w:name w:val="Heading 1 Char"/>
    <w:basedOn w:val="DefaultParagraphFont"/>
    <w:link w:val="Heading1"/>
    <w:uiPriority w:val="9"/>
    <w:rsid w:val="00EA3827"/>
    <w:rPr>
      <w:rFonts w:ascii="Times New Roman" w:eastAsia="Times New Roman" w:hAnsi="Times New Roman" w:cs="Times New Roman"/>
      <w:b/>
      <w:bCs/>
      <w:kern w:val="36"/>
      <w:sz w:val="48"/>
      <w:szCs w:val="48"/>
      <w:lang w:val="lt-LT" w:eastAsia="lt-LT"/>
    </w:rPr>
  </w:style>
  <w:style w:type="paragraph" w:styleId="HTMLPreformatted">
    <w:name w:val="HTML Preformatted"/>
    <w:basedOn w:val="Normal"/>
    <w:link w:val="HTMLPreformattedChar1"/>
    <w:rsid w:val="00E456B4"/>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E456B4"/>
    <w:rPr>
      <w:rFonts w:ascii="Consolas" w:hAnsi="Consolas"/>
      <w:sz w:val="20"/>
      <w:szCs w:val="20"/>
      <w:lang w:val="lt-LT"/>
    </w:rPr>
  </w:style>
  <w:style w:type="character" w:customStyle="1" w:styleId="HTMLPreformattedChar1">
    <w:name w:val="HTML Preformatted Char1"/>
    <w:link w:val="HTMLPreformatted"/>
    <w:rsid w:val="00E456B4"/>
    <w:rPr>
      <w:rFonts w:ascii="Courier New" w:eastAsia="Times New Roman" w:hAnsi="Courier New" w:cs="Times New Roman"/>
      <w:sz w:val="20"/>
      <w:szCs w:val="20"/>
      <w:lang w:val="x-none" w:eastAsia="lt-LT"/>
    </w:rPr>
  </w:style>
  <w:style w:type="character" w:customStyle="1" w:styleId="UnresolvedMention">
    <w:name w:val="Unresolved Mention"/>
    <w:basedOn w:val="DefaultParagraphFont"/>
    <w:uiPriority w:val="99"/>
    <w:semiHidden/>
    <w:unhideWhenUsed/>
    <w:rsid w:val="0046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0325">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hyperlink" Target="https://www.cpva.lt/eee-ir-norvegijos-finansiniai-mechanizmai-2014-2021-m./dokumentai/682/act690?sqid=994b3627fada2d63b94793688db3b709c08413e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pva.lt/data/public/uploads/2020/01/europos-komisijos-skelbiamos-dienpinigiu-normos-perdiems-2017-03-17_en.pdf" TargetMode="External"/><Relationship Id="rId17" Type="http://schemas.openxmlformats.org/officeDocument/2006/relationships/hyperlink" Target="http://www.cpva.lt" TargetMode="External"/><Relationship Id="rId2" Type="http://schemas.openxmlformats.org/officeDocument/2006/relationships/customXml" Target="../customXml/item2.xml"/><Relationship Id="rId16" Type="http://schemas.openxmlformats.org/officeDocument/2006/relationships/hyperlink" Target="https://www.cpva.lt/eee-ir-norvegijos-finansiniai-mechanizmai-2014-2021-m./dokumentai/682/act719?sqid=994b3627fada2d63b94793688db3b709c08413e2" TargetMode="External"/><Relationship Id="rId20" Type="http://schemas.openxmlformats.org/officeDocument/2006/relationships/hyperlink" Target="http://www.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e0f259a207a640e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eagrant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BE67-8E44-4800-9FB0-91569BAFB7C7}">
  <ds:schemaRefs>
    <ds:schemaRef ds:uri="6d0c0965-fb59-44b1-be49-fa64290f9bb6"/>
    <ds:schemaRef ds:uri="http://purl.org/dc/terms/"/>
    <ds:schemaRef ds:uri="http://schemas.microsoft.com/office/2006/documentManagement/types"/>
    <ds:schemaRef ds:uri="http://schemas.microsoft.com/office/2006/metadata/properties"/>
    <ds:schemaRef ds:uri="262c3b82-7ed8-4eac-a6c2-d2f08a866584"/>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0BA620-D525-49D5-AB62-20655A9CA00D}">
  <ds:schemaRefs>
    <ds:schemaRef ds:uri="http://schemas.microsoft.com/sharepoint/v3/contenttype/forms"/>
  </ds:schemaRefs>
</ds:datastoreItem>
</file>

<file path=customXml/itemProps3.xml><?xml version="1.0" encoding="utf-8"?>
<ds:datastoreItem xmlns:ds="http://schemas.openxmlformats.org/officeDocument/2006/customXml" ds:itemID="{9F192976-45CB-45C1-8B68-6D18010C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15A97-029B-4626-8790-5D798773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31407</Words>
  <Characters>17903</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49212</CharactersWithSpaces>
  <SharedDoc>false</SharedDoc>
  <HLinks>
    <vt:vector size="72" baseType="variant">
      <vt:variant>
        <vt:i4>6553645</vt:i4>
      </vt:variant>
      <vt:variant>
        <vt:i4>33</vt:i4>
      </vt:variant>
      <vt:variant>
        <vt:i4>0</vt:i4>
      </vt:variant>
      <vt:variant>
        <vt:i4>5</vt:i4>
      </vt:variant>
      <vt:variant>
        <vt:lpwstr>http://www.cpva.lt/</vt:lpwstr>
      </vt:variant>
      <vt:variant>
        <vt:lpwstr/>
      </vt:variant>
      <vt:variant>
        <vt:i4>196637</vt:i4>
      </vt:variant>
      <vt:variant>
        <vt:i4>30</vt:i4>
      </vt:variant>
      <vt:variant>
        <vt:i4>0</vt:i4>
      </vt:variant>
      <vt:variant>
        <vt:i4>5</vt:i4>
      </vt:variant>
      <vt:variant>
        <vt:lpwstr>http://www.eeagrants.lt/</vt:lpwstr>
      </vt:variant>
      <vt:variant>
        <vt:lpwstr/>
      </vt:variant>
      <vt:variant>
        <vt:i4>3801208</vt:i4>
      </vt:variant>
      <vt:variant>
        <vt:i4>27</vt:i4>
      </vt:variant>
      <vt:variant>
        <vt:i4>0</vt:i4>
      </vt:variant>
      <vt:variant>
        <vt:i4>5</vt:i4>
      </vt:variant>
      <vt:variant>
        <vt:lpwstr>https://www.cpva.lt/eee-ir-norvegijos-finansiniai-mechanizmai-2014-2021-m./dokumentai/682/act690?sqid=994b3627fada2d63b94793688db3b709c08413e2</vt:lpwstr>
      </vt:variant>
      <vt:variant>
        <vt:lpwstr/>
      </vt:variant>
      <vt:variant>
        <vt:i4>6553645</vt:i4>
      </vt:variant>
      <vt:variant>
        <vt:i4>24</vt:i4>
      </vt:variant>
      <vt:variant>
        <vt:i4>0</vt:i4>
      </vt:variant>
      <vt:variant>
        <vt:i4>5</vt:i4>
      </vt:variant>
      <vt:variant>
        <vt:lpwstr>http://www.cpva.lt/</vt:lpwstr>
      </vt:variant>
      <vt:variant>
        <vt:lpwstr/>
      </vt:variant>
      <vt:variant>
        <vt:i4>3276912</vt:i4>
      </vt:variant>
      <vt:variant>
        <vt:i4>21</vt:i4>
      </vt:variant>
      <vt:variant>
        <vt:i4>0</vt:i4>
      </vt:variant>
      <vt:variant>
        <vt:i4>5</vt:i4>
      </vt:variant>
      <vt:variant>
        <vt:lpwstr>https://www.cpva.lt/eee-ir-norvegijos-finansiniai-mechanizmai-2014-2021-m./dokumentai/682/act719?sqid=994b3627fada2d63b94793688db3b709c08413e2</vt:lpwstr>
      </vt:variant>
      <vt:variant>
        <vt:lpwstr/>
      </vt:variant>
      <vt:variant>
        <vt:i4>6553645</vt:i4>
      </vt:variant>
      <vt:variant>
        <vt:i4>18</vt:i4>
      </vt:variant>
      <vt:variant>
        <vt:i4>0</vt:i4>
      </vt:variant>
      <vt:variant>
        <vt:i4>5</vt:i4>
      </vt:variant>
      <vt:variant>
        <vt:lpwstr>http://www.cpva.lt/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5177451</vt:i4>
      </vt:variant>
      <vt:variant>
        <vt:i4>9</vt:i4>
      </vt:variant>
      <vt:variant>
        <vt:i4>0</vt:i4>
      </vt:variant>
      <vt:variant>
        <vt:i4>5</vt:i4>
      </vt:variant>
      <vt:variant>
        <vt:lpwstr>https://www.cpva.lt/data/public/uploads/2020/01/europos-komisijos-skelbiamos-dienpinigiu-normos-perdiems-2017-03-17_en.pdf</vt:lpwstr>
      </vt:variant>
      <vt:variant>
        <vt:lpwstr/>
      </vt:variant>
      <vt:variant>
        <vt:i4>74</vt:i4>
      </vt:variant>
      <vt:variant>
        <vt:i4>6</vt:i4>
      </vt:variant>
      <vt:variant>
        <vt:i4>0</vt:i4>
      </vt:variant>
      <vt:variant>
        <vt:i4>5</vt:i4>
      </vt:variant>
      <vt:variant>
        <vt:lpwstr>https://eeagrants.org/resources/2014-2021-bilateral-guideline-annex-6-partnership-agreement-template</vt:lpwstr>
      </vt:variant>
      <vt:variant>
        <vt:lpwstr/>
      </vt:variant>
      <vt:variant>
        <vt:i4>6553645</vt:i4>
      </vt:variant>
      <vt:variant>
        <vt:i4>3</vt:i4>
      </vt:variant>
      <vt:variant>
        <vt:i4>0</vt:i4>
      </vt:variant>
      <vt:variant>
        <vt:i4>5</vt:i4>
      </vt:variant>
      <vt:variant>
        <vt:lpwstr>http://www.cpva.lt/</vt:lpwstr>
      </vt:variant>
      <vt:variant>
        <vt:lpwstr/>
      </vt:variant>
      <vt:variant>
        <vt:i4>196637</vt:i4>
      </vt:variant>
      <vt:variant>
        <vt:i4>0</vt:i4>
      </vt:variant>
      <vt:variant>
        <vt:i4>0</vt:i4>
      </vt:variant>
      <vt:variant>
        <vt:i4>5</vt:i4>
      </vt:variant>
      <vt:variant>
        <vt:lpwstr>http://www.eeagrants.lt/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Lina Janionytė</cp:lastModifiedBy>
  <cp:revision>6</cp:revision>
  <dcterms:created xsi:type="dcterms:W3CDTF">2020-09-28T10:21:00Z</dcterms:created>
  <dcterms:modified xsi:type="dcterms:W3CDTF">2020-10-05T10:50:00Z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