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FC99" w14:textId="77777777" w:rsidR="00AB04F7" w:rsidRPr="00545EA2" w:rsidRDefault="00AB04F7" w:rsidP="0029325A">
      <w:pPr>
        <w:ind w:left="8505"/>
        <w:rPr>
          <w:szCs w:val="22"/>
          <w:lang w:val="en-GB"/>
        </w:rPr>
      </w:pPr>
    </w:p>
    <w:p w14:paraId="610773BE" w14:textId="0CE11552" w:rsidR="00AB04F7" w:rsidRPr="00545EA2" w:rsidRDefault="00AB04F7" w:rsidP="00AB04F7">
      <w:pPr>
        <w:ind w:left="8505"/>
        <w:jc w:val="both"/>
        <w:rPr>
          <w:lang w:val="en-GB"/>
        </w:rPr>
      </w:pPr>
      <w:r w:rsidRPr="00545EA2">
        <w:rPr>
          <w:lang w:val="en-GB"/>
        </w:rPr>
        <w:t>Annex No 8 to the Guidelines for the Applicants of the Call “Implementat</w:t>
      </w:r>
      <w:r w:rsidR="003041AD">
        <w:rPr>
          <w:lang w:val="en-GB"/>
        </w:rPr>
        <w:t>ion of the Model of Well-being A</w:t>
      </w:r>
      <w:r w:rsidRPr="00545EA2">
        <w:rPr>
          <w:lang w:val="en-GB"/>
        </w:rPr>
        <w:t>dvis</w:t>
      </w:r>
      <w:r w:rsidR="003041AD">
        <w:rPr>
          <w:lang w:val="en-GB"/>
        </w:rPr>
        <w:t>e</w:t>
      </w:r>
      <w:r w:rsidRPr="00545EA2">
        <w:rPr>
          <w:lang w:val="en-GB"/>
        </w:rPr>
        <w:t>rs” under the Programme “Health“ of the European Economic Area Financial Mechanism 2014-2021</w:t>
      </w:r>
    </w:p>
    <w:p w14:paraId="32C6C166" w14:textId="77777777" w:rsidR="005A6329" w:rsidRDefault="005A6329" w:rsidP="00D61F05">
      <w:pPr>
        <w:jc w:val="center"/>
        <w:rPr>
          <w:lang w:val="en-GB"/>
        </w:rPr>
      </w:pPr>
    </w:p>
    <w:p w14:paraId="4CBA596C" w14:textId="77777777" w:rsidR="005A6329" w:rsidRDefault="005A6329" w:rsidP="00D61F05">
      <w:pPr>
        <w:jc w:val="center"/>
        <w:rPr>
          <w:lang w:val="en-GB"/>
        </w:rPr>
      </w:pPr>
    </w:p>
    <w:p w14:paraId="7FAB6D4C" w14:textId="647DE4AB" w:rsidR="00D61F05" w:rsidRPr="00545EA2" w:rsidRDefault="00DF4E58" w:rsidP="00D61F05">
      <w:pPr>
        <w:jc w:val="center"/>
        <w:rPr>
          <w:b/>
          <w:bCs/>
          <w:color w:val="000000"/>
          <w:lang w:val="en-GB"/>
        </w:rPr>
      </w:pPr>
      <w:sdt>
        <w:sdtPr>
          <w:rPr>
            <w:b/>
            <w:bCs/>
            <w:lang w:val="en-GB"/>
          </w:rPr>
          <w:alias w:val="Pavadinimas"/>
          <w:tag w:val="title_24128f9328ad400981b5a08f1c6dba4d"/>
          <w:id w:val="584883860"/>
        </w:sdtPr>
        <w:sdtEndPr>
          <w:rPr>
            <w:b w:val="0"/>
            <w:bCs w:val="0"/>
          </w:rPr>
        </w:sdtEndPr>
        <w:sdtContent>
          <w:r w:rsidR="00AB04F7" w:rsidRPr="00545EA2">
            <w:rPr>
              <w:b/>
              <w:bCs/>
              <w:lang w:val="en-GB"/>
            </w:rPr>
            <w:t>M</w:t>
          </w:r>
          <w:r w:rsidR="00AB04F7" w:rsidRPr="00545EA2">
            <w:rPr>
              <w:b/>
              <w:bCs/>
              <w:color w:val="000000"/>
              <w:lang w:val="en-GB"/>
            </w:rPr>
            <w:t>ETHODOLOGY FOR CALCULATING MONITORING INDICATORS</w:t>
          </w:r>
        </w:sdtContent>
      </w:sdt>
    </w:p>
    <w:p w14:paraId="6E8D0C18" w14:textId="77777777" w:rsidR="00D61F05" w:rsidRPr="00545EA2" w:rsidRDefault="00D61F05" w:rsidP="00D61F05">
      <w:pPr>
        <w:rPr>
          <w:b/>
          <w:bCs/>
          <w:color w:val="000000"/>
          <w:sz w:val="20"/>
          <w:lang w:val="en-GB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632"/>
        <w:gridCol w:w="1199"/>
        <w:gridCol w:w="1394"/>
        <w:gridCol w:w="1225"/>
        <w:gridCol w:w="1497"/>
        <w:gridCol w:w="1683"/>
        <w:gridCol w:w="1291"/>
        <w:gridCol w:w="1557"/>
        <w:gridCol w:w="2127"/>
      </w:tblGrid>
      <w:tr w:rsidR="00AB04F7" w:rsidRPr="00545EA2" w14:paraId="1E94D569" w14:textId="77777777" w:rsidTr="00B34B41">
        <w:trPr>
          <w:trHeight w:val="907"/>
        </w:trPr>
        <w:tc>
          <w:tcPr>
            <w:tcW w:w="247" w:type="pct"/>
            <w:vAlign w:val="center"/>
          </w:tcPr>
          <w:p w14:paraId="3415EEEE" w14:textId="7E53BE77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Indicator No</w:t>
            </w:r>
          </w:p>
        </w:tc>
        <w:tc>
          <w:tcPr>
            <w:tcW w:w="570" w:type="pct"/>
            <w:vAlign w:val="center"/>
          </w:tcPr>
          <w:p w14:paraId="6DBEDA3B" w14:textId="77777777" w:rsidR="00AB04F7" w:rsidRPr="00545EA2" w:rsidRDefault="00AB04F7" w:rsidP="00AB04F7">
            <w:pPr>
              <w:ind w:left="34" w:hanging="34"/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Indicator name</w:t>
            </w:r>
          </w:p>
          <w:p w14:paraId="52F9DECA" w14:textId="77777777" w:rsidR="00AB04F7" w:rsidRPr="00545EA2" w:rsidRDefault="00AB04F7" w:rsidP="00AB04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19" w:type="pct"/>
            <w:vAlign w:val="center"/>
          </w:tcPr>
          <w:p w14:paraId="56E4BDE1" w14:textId="671D0BB8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The target value of the program</w:t>
            </w:r>
          </w:p>
        </w:tc>
        <w:tc>
          <w:tcPr>
            <w:tcW w:w="487" w:type="pct"/>
            <w:vAlign w:val="center"/>
          </w:tcPr>
          <w:p w14:paraId="00A0F259" w14:textId="60578349" w:rsidR="00AB04F7" w:rsidRPr="00545EA2" w:rsidRDefault="00AB04F7" w:rsidP="00AB04F7">
            <w:pPr>
              <w:jc w:val="center"/>
              <w:rPr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Explanation of the indicator</w:t>
            </w:r>
          </w:p>
        </w:tc>
        <w:tc>
          <w:tcPr>
            <w:tcW w:w="2534" w:type="pct"/>
            <w:gridSpan w:val="5"/>
            <w:vAlign w:val="center"/>
          </w:tcPr>
          <w:p w14:paraId="397DE9D8" w14:textId="77285D6A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MEASUREMENT OF THE INDICATOR</w:t>
            </w:r>
          </w:p>
        </w:tc>
        <w:tc>
          <w:tcPr>
            <w:tcW w:w="743" w:type="pct"/>
            <w:vAlign w:val="center"/>
          </w:tcPr>
          <w:p w14:paraId="2E80CF13" w14:textId="4A2E64DE" w:rsidR="00AB04F7" w:rsidRPr="00545EA2" w:rsidRDefault="00AB04F7" w:rsidP="00AB04F7">
            <w:pPr>
              <w:ind w:left="-109" w:right="-107"/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Authority responsible for providing information / data to the CPMA</w:t>
            </w:r>
          </w:p>
        </w:tc>
      </w:tr>
      <w:tr w:rsidR="00AB04F7" w:rsidRPr="00545EA2" w14:paraId="1D449C3D" w14:textId="77777777" w:rsidTr="00B34B41">
        <w:tc>
          <w:tcPr>
            <w:tcW w:w="247" w:type="pct"/>
            <w:vAlign w:val="center"/>
          </w:tcPr>
          <w:p w14:paraId="4ECBD7E3" w14:textId="77777777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70" w:type="pct"/>
            <w:vAlign w:val="center"/>
          </w:tcPr>
          <w:p w14:paraId="7D2608E3" w14:textId="77777777" w:rsidR="00AB04F7" w:rsidRPr="00545EA2" w:rsidRDefault="00AB04F7" w:rsidP="00AB04F7">
            <w:pPr>
              <w:ind w:left="34" w:hanging="34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19" w:type="pct"/>
          </w:tcPr>
          <w:p w14:paraId="372FDC1C" w14:textId="77777777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87" w:type="pct"/>
            <w:vAlign w:val="center"/>
          </w:tcPr>
          <w:p w14:paraId="421BEA86" w14:textId="77777777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4400F40A" w14:textId="496EF861" w:rsidR="00AB04F7" w:rsidRPr="00545EA2" w:rsidRDefault="00AB04F7" w:rsidP="00AB04F7">
            <w:pPr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Unit of measurement</w:t>
            </w:r>
          </w:p>
        </w:tc>
        <w:tc>
          <w:tcPr>
            <w:tcW w:w="523" w:type="pct"/>
            <w:vAlign w:val="center"/>
          </w:tcPr>
          <w:p w14:paraId="739F09E8" w14:textId="238E4D30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 xml:space="preserve">Type of calculation </w:t>
            </w:r>
          </w:p>
        </w:tc>
        <w:tc>
          <w:tcPr>
            <w:tcW w:w="588" w:type="pct"/>
            <w:vAlign w:val="center"/>
          </w:tcPr>
          <w:p w14:paraId="374C0729" w14:textId="5433B064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 xml:space="preserve">Method of calculation </w:t>
            </w:r>
          </w:p>
        </w:tc>
        <w:tc>
          <w:tcPr>
            <w:tcW w:w="451" w:type="pct"/>
            <w:vAlign w:val="center"/>
          </w:tcPr>
          <w:p w14:paraId="7ABB8FB9" w14:textId="2D537BF5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 xml:space="preserve">Data source </w:t>
            </w:r>
          </w:p>
        </w:tc>
        <w:tc>
          <w:tcPr>
            <w:tcW w:w="544" w:type="pct"/>
            <w:vAlign w:val="center"/>
          </w:tcPr>
          <w:p w14:paraId="0885B8A0" w14:textId="50AD63E5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Moment of achievement</w:t>
            </w:r>
          </w:p>
        </w:tc>
        <w:tc>
          <w:tcPr>
            <w:tcW w:w="743" w:type="pct"/>
            <w:vAlign w:val="center"/>
          </w:tcPr>
          <w:p w14:paraId="0D0894E4" w14:textId="77777777" w:rsidR="00AB04F7" w:rsidRPr="00545EA2" w:rsidRDefault="00AB04F7" w:rsidP="00AB04F7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D61F05" w:rsidRPr="00545EA2" w14:paraId="367610F9" w14:textId="77777777" w:rsidTr="00B34B41">
        <w:trPr>
          <w:trHeight w:val="409"/>
        </w:trPr>
        <w:tc>
          <w:tcPr>
            <w:tcW w:w="5000" w:type="pct"/>
            <w:gridSpan w:val="10"/>
            <w:vAlign w:val="center"/>
          </w:tcPr>
          <w:p w14:paraId="6C2A867B" w14:textId="79D6E31E" w:rsidR="00D61F05" w:rsidRPr="00545EA2" w:rsidRDefault="00766BFD" w:rsidP="00E72554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Outcome</w:t>
            </w:r>
            <w:r w:rsidRPr="00545EA2">
              <w:rPr>
                <w:b/>
                <w:bCs/>
                <w:sz w:val="20"/>
                <w:lang w:val="en-GB"/>
              </w:rPr>
              <w:t xml:space="preserve"> </w:t>
            </w:r>
            <w:r w:rsidR="00AB04F7" w:rsidRPr="00545EA2">
              <w:rPr>
                <w:b/>
                <w:bCs/>
                <w:sz w:val="20"/>
                <w:lang w:val="en-GB"/>
              </w:rPr>
              <w:t xml:space="preserve">indicators </w:t>
            </w:r>
          </w:p>
        </w:tc>
      </w:tr>
      <w:tr w:rsidR="00A50EBF" w:rsidRPr="00545EA2" w14:paraId="54BAECAA" w14:textId="77777777" w:rsidTr="00B34B41">
        <w:tc>
          <w:tcPr>
            <w:tcW w:w="247" w:type="pct"/>
          </w:tcPr>
          <w:p w14:paraId="6A75F6B2" w14:textId="77777777" w:rsidR="00D61F05" w:rsidRPr="00545EA2" w:rsidRDefault="00D61F05" w:rsidP="00E72554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1.</w:t>
            </w:r>
          </w:p>
        </w:tc>
        <w:tc>
          <w:tcPr>
            <w:tcW w:w="570" w:type="pct"/>
          </w:tcPr>
          <w:p w14:paraId="4A860D7D" w14:textId="28F6D09B" w:rsidR="00D61F05" w:rsidRPr="00545EA2" w:rsidRDefault="00AB04F7" w:rsidP="00C84C0E">
            <w:pPr>
              <w:tabs>
                <w:tab w:val="left" w:pos="317"/>
                <w:tab w:val="left" w:pos="459"/>
              </w:tabs>
              <w:ind w:right="34"/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Number of </w:t>
            </w:r>
            <w:r w:rsidR="00C84C0E">
              <w:rPr>
                <w:sz w:val="20"/>
                <w:lang w:val="en-GB"/>
              </w:rPr>
              <w:t>beneficiaries</w:t>
            </w:r>
            <w:r w:rsidRPr="00545EA2">
              <w:rPr>
                <w:sz w:val="20"/>
                <w:lang w:val="en-GB"/>
              </w:rPr>
              <w:t xml:space="preserve"> </w:t>
            </w:r>
            <w:r w:rsidR="00C84C0E">
              <w:rPr>
                <w:sz w:val="20"/>
                <w:lang w:val="en-GB"/>
              </w:rPr>
              <w:t>of services provided</w:t>
            </w:r>
          </w:p>
        </w:tc>
        <w:tc>
          <w:tcPr>
            <w:tcW w:w="419" w:type="pct"/>
          </w:tcPr>
          <w:p w14:paraId="13C053CC" w14:textId="62A042FD" w:rsidR="00D61F05" w:rsidRPr="00545EA2" w:rsidRDefault="00327F8C" w:rsidP="00E72554">
            <w:pPr>
              <w:rPr>
                <w:color w:val="70AD47" w:themeColor="accent6"/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96</w:t>
            </w:r>
            <w:r w:rsidR="001470F8" w:rsidRPr="00545EA2">
              <w:rPr>
                <w:sz w:val="20"/>
                <w:lang w:val="en-GB"/>
              </w:rPr>
              <w:t>63</w:t>
            </w:r>
            <w:r w:rsidR="008151AE" w:rsidRPr="00545EA2">
              <w:rPr>
                <w:rStyle w:val="FootnoteReference"/>
                <w:sz w:val="20"/>
                <w:lang w:val="en-GB"/>
              </w:rPr>
              <w:footnoteReference w:id="2"/>
            </w:r>
          </w:p>
        </w:tc>
        <w:tc>
          <w:tcPr>
            <w:tcW w:w="487" w:type="pct"/>
          </w:tcPr>
          <w:p w14:paraId="3021EEE5" w14:textId="36A7C8FC" w:rsidR="00AB04F7" w:rsidRPr="00545EA2" w:rsidRDefault="00AB04F7" w:rsidP="00D60D02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An individual of 18 years of age (inclusive) and older who has received Well-being counsel</w:t>
            </w:r>
            <w:r w:rsidR="00DF4E58">
              <w:rPr>
                <w:sz w:val="20"/>
                <w:lang w:val="en-GB"/>
              </w:rPr>
              <w:t>l</w:t>
            </w:r>
            <w:r w:rsidRPr="00545EA2">
              <w:rPr>
                <w:sz w:val="20"/>
                <w:lang w:val="en-GB"/>
              </w:rPr>
              <w:t>ing services (at least 1 consultation)</w:t>
            </w:r>
          </w:p>
          <w:p w14:paraId="68DFF1DA" w14:textId="5E80AD6E" w:rsidR="00A40DB2" w:rsidRPr="00545EA2" w:rsidRDefault="00B249BB" w:rsidP="00D60D02">
            <w:pPr>
              <w:rPr>
                <w:sz w:val="20"/>
                <w:lang w:val="en-GB"/>
              </w:rPr>
            </w:pPr>
            <w:r w:rsidRPr="00545EA2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8" w:type="pct"/>
          </w:tcPr>
          <w:p w14:paraId="724E3240" w14:textId="5D19345F" w:rsidR="00D61F05" w:rsidRPr="00545EA2" w:rsidRDefault="00AB04F7" w:rsidP="00E72554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23" w:type="pct"/>
          </w:tcPr>
          <w:p w14:paraId="3CEABD55" w14:textId="6A9599A8" w:rsidR="000D0418" w:rsidRPr="00545EA2" w:rsidRDefault="00AB04F7" w:rsidP="000D0418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Entered </w:t>
            </w:r>
          </w:p>
          <w:p w14:paraId="3320A4EC" w14:textId="29E9E786" w:rsidR="000D0418" w:rsidRPr="00545EA2" w:rsidRDefault="000D0418" w:rsidP="000D0418">
            <w:pPr>
              <w:rPr>
                <w:sz w:val="20"/>
                <w:lang w:val="en-GB"/>
              </w:rPr>
            </w:pPr>
          </w:p>
          <w:p w14:paraId="0D63C90A" w14:textId="77777777" w:rsidR="00D61F05" w:rsidRPr="00545EA2" w:rsidRDefault="00D61F05" w:rsidP="000D0418">
            <w:pPr>
              <w:ind w:firstLine="1296"/>
              <w:rPr>
                <w:sz w:val="20"/>
                <w:lang w:val="en-GB"/>
              </w:rPr>
            </w:pPr>
          </w:p>
        </w:tc>
        <w:tc>
          <w:tcPr>
            <w:tcW w:w="588" w:type="pct"/>
          </w:tcPr>
          <w:p w14:paraId="400B3CA2" w14:textId="62265971" w:rsidR="00AB04F7" w:rsidRPr="00545EA2" w:rsidRDefault="00AB04F7" w:rsidP="00AB04F7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Individuals of 18 years of age (inclusive) and older, who have received Well-being counsel</w:t>
            </w:r>
            <w:r w:rsidR="00DF4E58">
              <w:rPr>
                <w:sz w:val="20"/>
                <w:lang w:val="en-GB"/>
              </w:rPr>
              <w:t>l</w:t>
            </w:r>
            <w:bookmarkStart w:id="0" w:name="_GoBack"/>
            <w:bookmarkEnd w:id="0"/>
            <w:r w:rsidRPr="00545EA2">
              <w:rPr>
                <w:sz w:val="20"/>
                <w:lang w:val="en-GB"/>
              </w:rPr>
              <w:t xml:space="preserve">ing services (at least 1 consultation), are summed up </w:t>
            </w:r>
          </w:p>
          <w:p w14:paraId="686E8799" w14:textId="77777777" w:rsidR="00AB04F7" w:rsidRPr="00545EA2" w:rsidRDefault="00AB04F7" w:rsidP="00E72554">
            <w:pPr>
              <w:rPr>
                <w:sz w:val="20"/>
                <w:lang w:val="en-GB"/>
              </w:rPr>
            </w:pPr>
          </w:p>
          <w:p w14:paraId="1DF2E788" w14:textId="77777777" w:rsidR="00AB04F7" w:rsidRPr="00545EA2" w:rsidRDefault="00AB04F7" w:rsidP="00E72554">
            <w:pPr>
              <w:rPr>
                <w:sz w:val="20"/>
                <w:lang w:val="en-GB"/>
              </w:rPr>
            </w:pPr>
          </w:p>
          <w:p w14:paraId="108FD13A" w14:textId="77777777" w:rsidR="00AB04F7" w:rsidRPr="00545EA2" w:rsidRDefault="00AB04F7" w:rsidP="00E72554">
            <w:pPr>
              <w:rPr>
                <w:sz w:val="20"/>
                <w:lang w:val="en-GB"/>
              </w:rPr>
            </w:pPr>
          </w:p>
          <w:p w14:paraId="717B7D3A" w14:textId="77777777" w:rsidR="00C00B6A" w:rsidRPr="00545EA2" w:rsidRDefault="00C00B6A" w:rsidP="00E72554">
            <w:pPr>
              <w:rPr>
                <w:sz w:val="20"/>
                <w:lang w:val="en-GB"/>
              </w:rPr>
            </w:pPr>
          </w:p>
          <w:p w14:paraId="55656425" w14:textId="77777777" w:rsidR="00C00B6A" w:rsidRPr="00545EA2" w:rsidRDefault="00C00B6A" w:rsidP="00E72554">
            <w:pPr>
              <w:rPr>
                <w:sz w:val="20"/>
                <w:lang w:val="en-GB"/>
              </w:rPr>
            </w:pPr>
          </w:p>
          <w:p w14:paraId="146E37EE" w14:textId="21E6119F" w:rsidR="00C00B6A" w:rsidRPr="00545EA2" w:rsidRDefault="00C00B6A" w:rsidP="00E72554">
            <w:pPr>
              <w:rPr>
                <w:sz w:val="20"/>
                <w:lang w:val="en-GB"/>
              </w:rPr>
            </w:pPr>
          </w:p>
        </w:tc>
        <w:tc>
          <w:tcPr>
            <w:tcW w:w="451" w:type="pct"/>
          </w:tcPr>
          <w:p w14:paraId="17B36BD3" w14:textId="72CC3126" w:rsidR="00AB04F7" w:rsidRPr="00545EA2" w:rsidRDefault="00AB04F7" w:rsidP="00AB04F7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Primary sources - summary activity reports of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>s submitted by the Project promoter</w:t>
            </w:r>
          </w:p>
          <w:p w14:paraId="2527B667" w14:textId="77777777" w:rsidR="00AB04F7" w:rsidRPr="00545EA2" w:rsidRDefault="00AB04F7" w:rsidP="00E72554">
            <w:pPr>
              <w:rPr>
                <w:sz w:val="20"/>
                <w:lang w:val="en-GB"/>
              </w:rPr>
            </w:pPr>
          </w:p>
          <w:p w14:paraId="5BBCE414" w14:textId="1BE0DE82" w:rsidR="00D61F05" w:rsidRPr="00545EA2" w:rsidRDefault="00AB04F7" w:rsidP="00E72554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Secondary sources - Project payment requests.</w:t>
            </w:r>
          </w:p>
        </w:tc>
        <w:tc>
          <w:tcPr>
            <w:tcW w:w="544" w:type="pct"/>
          </w:tcPr>
          <w:p w14:paraId="565EBC2B" w14:textId="268BF21E" w:rsidR="00F10D47" w:rsidRPr="00545EA2" w:rsidRDefault="00CE5565" w:rsidP="00105DE5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M</w:t>
            </w:r>
            <w:r w:rsidR="00AB04F7" w:rsidRPr="00545EA2">
              <w:rPr>
                <w:sz w:val="20"/>
                <w:lang w:val="en-GB"/>
              </w:rPr>
              <w:t>easured continuously. Data on the achievement of the indicator are collected at least once every six months according to the periodicity of submission of payment requests (PR).</w:t>
            </w:r>
            <w:r w:rsidR="00673B3A" w:rsidRPr="00545EA2">
              <w:rPr>
                <w:sz w:val="20"/>
                <w:lang w:val="en-GB"/>
              </w:rPr>
              <w:t xml:space="preserve"> The indicator is considered achieved when the PR of the project  approved</w:t>
            </w:r>
          </w:p>
        </w:tc>
        <w:tc>
          <w:tcPr>
            <w:tcW w:w="743" w:type="pct"/>
          </w:tcPr>
          <w:p w14:paraId="0B65A015" w14:textId="01306410" w:rsidR="00D61F05" w:rsidRPr="00545EA2" w:rsidRDefault="00673B3A" w:rsidP="00E72554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Project promoter </w:t>
            </w:r>
          </w:p>
        </w:tc>
      </w:tr>
      <w:tr w:rsidR="00F10D47" w:rsidRPr="00545EA2" w14:paraId="36D91455" w14:textId="77777777" w:rsidTr="00B34B41">
        <w:trPr>
          <w:trHeight w:val="479"/>
        </w:trPr>
        <w:tc>
          <w:tcPr>
            <w:tcW w:w="5000" w:type="pct"/>
            <w:gridSpan w:val="10"/>
            <w:vAlign w:val="center"/>
          </w:tcPr>
          <w:p w14:paraId="00361BE7" w14:textId="77777777" w:rsidR="00F10D47" w:rsidRPr="00545EA2" w:rsidRDefault="00F10D47" w:rsidP="00DE7BE5">
            <w:pPr>
              <w:rPr>
                <w:b/>
                <w:sz w:val="20"/>
                <w:lang w:val="en-GB"/>
              </w:rPr>
            </w:pPr>
          </w:p>
        </w:tc>
      </w:tr>
      <w:tr w:rsidR="00DE7BE5" w:rsidRPr="00545EA2" w14:paraId="19F2938E" w14:textId="77777777" w:rsidTr="00CE5565">
        <w:trPr>
          <w:trHeight w:val="568"/>
        </w:trPr>
        <w:tc>
          <w:tcPr>
            <w:tcW w:w="5000" w:type="pct"/>
            <w:gridSpan w:val="10"/>
            <w:vAlign w:val="center"/>
          </w:tcPr>
          <w:p w14:paraId="07E5E799" w14:textId="6E7EC03A" w:rsidR="00DE7BE5" w:rsidRPr="00545EA2" w:rsidRDefault="00766BFD" w:rsidP="00DE7BE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Output</w:t>
            </w:r>
            <w:r w:rsidRPr="00545EA2">
              <w:rPr>
                <w:b/>
                <w:sz w:val="20"/>
                <w:lang w:val="en-GB"/>
              </w:rPr>
              <w:t xml:space="preserve"> </w:t>
            </w:r>
            <w:r w:rsidR="00673B3A" w:rsidRPr="00545EA2">
              <w:rPr>
                <w:b/>
                <w:sz w:val="20"/>
                <w:lang w:val="en-GB"/>
              </w:rPr>
              <w:t xml:space="preserve">indicators </w:t>
            </w:r>
          </w:p>
        </w:tc>
      </w:tr>
      <w:tr w:rsidR="00B34B41" w:rsidRPr="00545EA2" w14:paraId="11A6C98E" w14:textId="77777777" w:rsidTr="00B34B41">
        <w:trPr>
          <w:trHeight w:val="699"/>
        </w:trPr>
        <w:tc>
          <w:tcPr>
            <w:tcW w:w="247" w:type="pct"/>
          </w:tcPr>
          <w:p w14:paraId="3515C3A4" w14:textId="3BCE0441" w:rsidR="00B34B41" w:rsidRPr="00545EA2" w:rsidRDefault="00D60D02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1</w:t>
            </w:r>
            <w:r w:rsidR="00B34B41" w:rsidRPr="00545EA2">
              <w:rPr>
                <w:sz w:val="20"/>
                <w:lang w:val="en-GB"/>
              </w:rPr>
              <w:t xml:space="preserve">. </w:t>
            </w:r>
          </w:p>
        </w:tc>
        <w:tc>
          <w:tcPr>
            <w:tcW w:w="570" w:type="pct"/>
          </w:tcPr>
          <w:p w14:paraId="1EFF4CE3" w14:textId="1457A172" w:rsidR="00B34B41" w:rsidRPr="00545EA2" w:rsidRDefault="00AE5D82" w:rsidP="00AE5D82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Number of individuals who approached a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 xml:space="preserve"> with mild symptoms of anxiety, stress, insomnia, depression or with signs of psychological adaptation problems and completed a full course of consultations</w:t>
            </w:r>
          </w:p>
        </w:tc>
        <w:tc>
          <w:tcPr>
            <w:tcW w:w="419" w:type="pct"/>
          </w:tcPr>
          <w:p w14:paraId="43355FEE" w14:textId="3CDE7015" w:rsidR="00B34B41" w:rsidRPr="00545EA2" w:rsidRDefault="0097611F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5580 </w:t>
            </w:r>
            <w:r w:rsidR="00AE5D82" w:rsidRPr="00545EA2">
              <w:rPr>
                <w:sz w:val="20"/>
                <w:lang w:val="en-GB"/>
              </w:rPr>
              <w:t xml:space="preserve">(or at least 60% of the total number of individuals who have received the services of Well-being </w:t>
            </w:r>
            <w:r w:rsidR="003041AD">
              <w:rPr>
                <w:sz w:val="20"/>
                <w:lang w:val="en-GB"/>
              </w:rPr>
              <w:t>Adviser</w:t>
            </w:r>
            <w:r w:rsidR="00AE5D82" w:rsidRPr="00545EA2">
              <w:rPr>
                <w:sz w:val="20"/>
                <w:lang w:val="en-GB"/>
              </w:rPr>
              <w:t>s</w:t>
            </w:r>
            <w:r w:rsidR="009D1BA4" w:rsidRPr="00545EA2">
              <w:rPr>
                <w:rStyle w:val="FootnoteReference"/>
                <w:sz w:val="20"/>
                <w:lang w:val="en-GB"/>
              </w:rPr>
              <w:footnoteReference w:id="3"/>
            </w:r>
            <w:r w:rsidRPr="00545EA2">
              <w:rPr>
                <w:sz w:val="20"/>
                <w:lang w:val="en-GB"/>
              </w:rPr>
              <w:t>)</w:t>
            </w:r>
          </w:p>
        </w:tc>
        <w:tc>
          <w:tcPr>
            <w:tcW w:w="487" w:type="pct"/>
          </w:tcPr>
          <w:p w14:paraId="4FB9E242" w14:textId="63014DB7" w:rsidR="00327305" w:rsidRPr="00545EA2" w:rsidRDefault="00327305" w:rsidP="001E39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An individual from 18 years of age (inclusive) who has received the services of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 xml:space="preserve"> (2 to 8 continuous consultations</w:t>
            </w:r>
            <w:r w:rsidR="00F85A25" w:rsidRPr="00545EA2">
              <w:rPr>
                <w:sz w:val="20"/>
                <w:lang w:val="en-GB"/>
              </w:rPr>
              <w:t xml:space="preserve"> according to the training program provided for in the Description of Well-being </w:t>
            </w:r>
            <w:r w:rsidR="003041AD">
              <w:rPr>
                <w:sz w:val="20"/>
                <w:lang w:val="en-GB"/>
              </w:rPr>
              <w:t>Adviser</w:t>
            </w:r>
            <w:r w:rsidR="00F85A25" w:rsidRPr="00545EA2">
              <w:rPr>
                <w:sz w:val="20"/>
                <w:lang w:val="en-GB"/>
              </w:rPr>
              <w:t xml:space="preserve">s </w:t>
            </w:r>
          </w:p>
          <w:p w14:paraId="71AE0187" w14:textId="2D53B4AA" w:rsidR="00B0468A" w:rsidRPr="00545EA2" w:rsidRDefault="00A03A64" w:rsidP="001E39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28" w:type="pct"/>
          </w:tcPr>
          <w:p w14:paraId="3B7D909A" w14:textId="77777777" w:rsidR="00B34B41" w:rsidRPr="00545EA2" w:rsidRDefault="00B34B41" w:rsidP="00B34B41">
            <w:pPr>
              <w:rPr>
                <w:sz w:val="20"/>
                <w:lang w:val="en-GB"/>
              </w:rPr>
            </w:pPr>
          </w:p>
        </w:tc>
        <w:tc>
          <w:tcPr>
            <w:tcW w:w="523" w:type="pct"/>
          </w:tcPr>
          <w:p w14:paraId="5B2147D3" w14:textId="77777777" w:rsidR="00B34B41" w:rsidRPr="00545EA2" w:rsidRDefault="00B34B41" w:rsidP="00B34B41">
            <w:pPr>
              <w:rPr>
                <w:sz w:val="20"/>
                <w:lang w:val="en-GB"/>
              </w:rPr>
            </w:pPr>
          </w:p>
        </w:tc>
        <w:tc>
          <w:tcPr>
            <w:tcW w:w="588" w:type="pct"/>
          </w:tcPr>
          <w:p w14:paraId="26CD485D" w14:textId="60D37339" w:rsidR="00B34B41" w:rsidRPr="00545EA2" w:rsidRDefault="00F85A25" w:rsidP="00CE5565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Individuals from 18 years of age (inclusive) and older who approached a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 xml:space="preserve"> with mild symptoms of anxiety, stress, insomnia, depression or with signs of psychological adaptation problems</w:t>
            </w:r>
            <w:r w:rsidR="0038416F" w:rsidRPr="00545EA2">
              <w:rPr>
                <w:sz w:val="20"/>
                <w:lang w:val="en-GB"/>
              </w:rPr>
              <w:t xml:space="preserve"> and having received 2 to 8 consultations </w:t>
            </w:r>
            <w:r w:rsidR="00CE5565" w:rsidRPr="00545EA2">
              <w:rPr>
                <w:sz w:val="20"/>
                <w:lang w:val="en-GB"/>
              </w:rPr>
              <w:t xml:space="preserve">and, in the opinion of the </w:t>
            </w:r>
            <w:r w:rsidR="003041AD">
              <w:rPr>
                <w:sz w:val="20"/>
                <w:lang w:val="en-GB"/>
              </w:rPr>
              <w:t>Adviser</w:t>
            </w:r>
            <w:r w:rsidR="00CE5565" w:rsidRPr="00545EA2">
              <w:rPr>
                <w:sz w:val="20"/>
                <w:lang w:val="en-GB"/>
              </w:rPr>
              <w:t xml:space="preserve">, having fully completed the consultation course in order to achieve the intended goal, are summed up </w:t>
            </w:r>
          </w:p>
        </w:tc>
        <w:tc>
          <w:tcPr>
            <w:tcW w:w="451" w:type="pct"/>
          </w:tcPr>
          <w:p w14:paraId="74174507" w14:textId="11827F4E" w:rsidR="00CE5565" w:rsidRPr="00545EA2" w:rsidRDefault="00CE5565" w:rsidP="00CE5565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Summary activity reports of services provided by a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 xml:space="preserve"> submitted by the Project promoter</w:t>
            </w:r>
          </w:p>
          <w:p w14:paraId="12B5B07C" w14:textId="262713BA" w:rsidR="00CE5565" w:rsidRPr="00545EA2" w:rsidRDefault="00CE5565" w:rsidP="00B34B41">
            <w:pPr>
              <w:rPr>
                <w:sz w:val="20"/>
                <w:lang w:val="en-GB"/>
              </w:rPr>
            </w:pPr>
          </w:p>
          <w:p w14:paraId="442C92D9" w14:textId="408A4425" w:rsidR="00CE5565" w:rsidRPr="00545EA2" w:rsidRDefault="00CE5565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Secondary sources - Project payment requests.</w:t>
            </w:r>
          </w:p>
          <w:p w14:paraId="2C5DE20A" w14:textId="1365268C" w:rsidR="00B34B41" w:rsidRPr="00545EA2" w:rsidRDefault="00B34B41" w:rsidP="00B34B41">
            <w:pPr>
              <w:rPr>
                <w:sz w:val="20"/>
                <w:lang w:val="en-GB"/>
              </w:rPr>
            </w:pPr>
          </w:p>
        </w:tc>
        <w:tc>
          <w:tcPr>
            <w:tcW w:w="544" w:type="pct"/>
          </w:tcPr>
          <w:p w14:paraId="385A3F57" w14:textId="5E364B85" w:rsidR="00CE5565" w:rsidRPr="00545EA2" w:rsidRDefault="00CE5565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The indicator is measured </w:t>
            </w:r>
            <w:proofErr w:type="spellStart"/>
            <w:r w:rsidRPr="00545EA2">
              <w:rPr>
                <w:sz w:val="20"/>
                <w:lang w:val="en-GB"/>
              </w:rPr>
              <w:t>continuosly</w:t>
            </w:r>
            <w:proofErr w:type="spellEnd"/>
            <w:r w:rsidRPr="00545EA2">
              <w:rPr>
                <w:sz w:val="20"/>
                <w:lang w:val="en-GB"/>
              </w:rPr>
              <w:t xml:space="preserve">. </w:t>
            </w:r>
          </w:p>
          <w:p w14:paraId="59582F9F" w14:textId="73AC195D" w:rsidR="00CE5565" w:rsidRPr="00545EA2" w:rsidRDefault="00CE5565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Data on the achievement of the indicator are collected at least once every six months in accordance with periodicity of submitting PR. </w:t>
            </w:r>
          </w:p>
          <w:p w14:paraId="3E6D3F14" w14:textId="2C11C1C6" w:rsidR="00CE5565" w:rsidRPr="00545EA2" w:rsidRDefault="00CE5565" w:rsidP="00B34B41">
            <w:pPr>
              <w:rPr>
                <w:sz w:val="20"/>
                <w:lang w:val="en-GB"/>
              </w:rPr>
            </w:pPr>
          </w:p>
          <w:p w14:paraId="404383E6" w14:textId="279DDD9E" w:rsidR="00CE5565" w:rsidRPr="00545EA2" w:rsidRDefault="00CE5565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The indicator is considered achieved when the final PR of the project  approved</w:t>
            </w:r>
          </w:p>
          <w:p w14:paraId="28B573B3" w14:textId="6E4BC884" w:rsidR="00B34B41" w:rsidRPr="00545EA2" w:rsidRDefault="00B34B41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743" w:type="pct"/>
          </w:tcPr>
          <w:p w14:paraId="54245A3D" w14:textId="109636D5" w:rsidR="00B34B41" w:rsidRPr="00545EA2" w:rsidRDefault="00B34B41" w:rsidP="00B34B41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Proje</w:t>
            </w:r>
            <w:r w:rsidR="00CE5565" w:rsidRPr="00545EA2">
              <w:rPr>
                <w:sz w:val="20"/>
                <w:lang w:val="en-GB"/>
              </w:rPr>
              <w:t xml:space="preserve">ct promoter </w:t>
            </w:r>
          </w:p>
        </w:tc>
      </w:tr>
    </w:tbl>
    <w:p w14:paraId="6B9BD85E" w14:textId="2E22FFBE" w:rsidR="00A86AE8" w:rsidRDefault="00A86AE8">
      <w:pPr>
        <w:rPr>
          <w:lang w:val="en-GB"/>
        </w:rPr>
      </w:pPr>
    </w:p>
    <w:p w14:paraId="0FB9D81F" w14:textId="77777777" w:rsidR="005A6329" w:rsidRPr="00545EA2" w:rsidRDefault="005A6329">
      <w:pPr>
        <w:rPr>
          <w:lang w:val="en-GB"/>
        </w:rPr>
      </w:pPr>
    </w:p>
    <w:p w14:paraId="393FDB80" w14:textId="77777777" w:rsidR="005A6329" w:rsidRDefault="00DF4E58" w:rsidP="005A6329">
      <w:pPr>
        <w:tabs>
          <w:tab w:val="left" w:pos="2300"/>
          <w:tab w:val="center" w:pos="7001"/>
        </w:tabs>
        <w:jc w:val="center"/>
        <w:rPr>
          <w:lang w:val="en-GB"/>
        </w:rPr>
      </w:pPr>
      <w:sdt>
        <w:sdtPr>
          <w:rPr>
            <w:lang w:val="en-GB"/>
          </w:rPr>
          <w:alias w:val="Pavadinimas"/>
          <w:tag w:val="title_24128f9328ad400981b5a08f1c6dba4d"/>
          <w:id w:val="848454971"/>
        </w:sdtPr>
        <w:sdtEndPr/>
        <w:sdtContent>
          <w:r w:rsidR="005A6329" w:rsidRPr="00F02FAB">
            <w:rPr>
              <w:b/>
              <w:bCs/>
              <w:color w:val="000000"/>
              <w:lang w:val="en-GB"/>
            </w:rPr>
            <w:t>METHODOLOGY FOR CALCULATING INDICATORS FOR MONITORING THE IMPLEMENTATION OF BILATERAL COOPERATION</w:t>
          </w:r>
        </w:sdtContent>
      </w:sdt>
    </w:p>
    <w:p w14:paraId="7EC31261" w14:textId="77777777" w:rsidR="005A6329" w:rsidRDefault="005A6329" w:rsidP="005A6329">
      <w:pPr>
        <w:tabs>
          <w:tab w:val="left" w:pos="2300"/>
          <w:tab w:val="center" w:pos="7001"/>
        </w:tabs>
        <w:rPr>
          <w:lang w:val="en-GB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0"/>
        <w:gridCol w:w="1202"/>
        <w:gridCol w:w="1523"/>
        <w:gridCol w:w="1254"/>
        <w:gridCol w:w="1675"/>
        <w:gridCol w:w="1397"/>
        <w:gridCol w:w="1531"/>
        <w:gridCol w:w="1257"/>
        <w:gridCol w:w="2070"/>
      </w:tblGrid>
      <w:tr w:rsidR="005A6329" w:rsidRPr="00F02FAB" w14:paraId="21B64CEA" w14:textId="77777777" w:rsidTr="004E2B20">
        <w:trPr>
          <w:trHeight w:val="907"/>
        </w:trPr>
        <w:tc>
          <w:tcPr>
            <w:tcW w:w="246" w:type="pct"/>
            <w:vAlign w:val="center"/>
          </w:tcPr>
          <w:p w14:paraId="0EF69E19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No</w:t>
            </w:r>
          </w:p>
        </w:tc>
        <w:tc>
          <w:tcPr>
            <w:tcW w:w="594" w:type="pct"/>
            <w:vAlign w:val="center"/>
          </w:tcPr>
          <w:p w14:paraId="261BD02B" w14:textId="77777777" w:rsidR="005A6329" w:rsidRPr="00F02FAB" w:rsidRDefault="005A6329" w:rsidP="004E2B20">
            <w:pPr>
              <w:ind w:left="34" w:hanging="34"/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Indicator name</w:t>
            </w:r>
          </w:p>
          <w:p w14:paraId="140DC61C" w14:textId="77777777" w:rsidR="005A6329" w:rsidRPr="00F02FAB" w:rsidRDefault="005A6329" w:rsidP="004E2B2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6F75D465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The target value of the program</w:t>
            </w:r>
          </w:p>
        </w:tc>
        <w:tc>
          <w:tcPr>
            <w:tcW w:w="532" w:type="pct"/>
            <w:vAlign w:val="center"/>
          </w:tcPr>
          <w:p w14:paraId="166217B0" w14:textId="77777777" w:rsidR="005A6329" w:rsidRPr="00F02FAB" w:rsidRDefault="005A6329" w:rsidP="004E2B20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Explanation of the indicator</w:t>
            </w:r>
          </w:p>
        </w:tc>
        <w:tc>
          <w:tcPr>
            <w:tcW w:w="2485" w:type="pct"/>
            <w:gridSpan w:val="5"/>
            <w:vAlign w:val="center"/>
          </w:tcPr>
          <w:p w14:paraId="4C336B1E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MEASUREMENT OF THE INDICATOR</w:t>
            </w:r>
          </w:p>
        </w:tc>
        <w:tc>
          <w:tcPr>
            <w:tcW w:w="723" w:type="pct"/>
            <w:vAlign w:val="center"/>
          </w:tcPr>
          <w:p w14:paraId="6BA12FDE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Authority responsible for providing information to the CPMA</w:t>
            </w:r>
          </w:p>
        </w:tc>
      </w:tr>
      <w:tr w:rsidR="005A6329" w:rsidRPr="00F02FAB" w14:paraId="24478C8C" w14:textId="77777777" w:rsidTr="004E2B20">
        <w:trPr>
          <w:trHeight w:val="567"/>
        </w:trPr>
        <w:tc>
          <w:tcPr>
            <w:tcW w:w="246" w:type="pct"/>
            <w:vAlign w:val="center"/>
          </w:tcPr>
          <w:p w14:paraId="69B16AD2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94" w:type="pct"/>
            <w:vAlign w:val="center"/>
          </w:tcPr>
          <w:p w14:paraId="565BF4DF" w14:textId="77777777" w:rsidR="005A6329" w:rsidRPr="00F02FAB" w:rsidRDefault="005A6329" w:rsidP="004E2B20">
            <w:pPr>
              <w:ind w:left="34" w:hanging="34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0" w:type="pct"/>
          </w:tcPr>
          <w:p w14:paraId="20CDEF26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vAlign w:val="center"/>
          </w:tcPr>
          <w:p w14:paraId="175C3A02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38" w:type="pct"/>
            <w:vAlign w:val="center"/>
          </w:tcPr>
          <w:p w14:paraId="482A10DA" w14:textId="77777777" w:rsidR="005A6329" w:rsidRPr="00F02FAB" w:rsidRDefault="005A6329" w:rsidP="004E2B20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Unit of measurement</w:t>
            </w:r>
          </w:p>
        </w:tc>
        <w:tc>
          <w:tcPr>
            <w:tcW w:w="585" w:type="pct"/>
            <w:vAlign w:val="center"/>
          </w:tcPr>
          <w:p w14:paraId="10D568E5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 xml:space="preserve">Type of calculation </w:t>
            </w:r>
          </w:p>
        </w:tc>
        <w:tc>
          <w:tcPr>
            <w:tcW w:w="488" w:type="pct"/>
            <w:vAlign w:val="center"/>
          </w:tcPr>
          <w:p w14:paraId="6625C9AB" w14:textId="77777777" w:rsidR="005A6329" w:rsidRPr="00F02FAB" w:rsidRDefault="005A6329" w:rsidP="004E2B20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 xml:space="preserve">Method of calculation </w:t>
            </w:r>
          </w:p>
        </w:tc>
        <w:tc>
          <w:tcPr>
            <w:tcW w:w="535" w:type="pct"/>
            <w:vAlign w:val="center"/>
          </w:tcPr>
          <w:p w14:paraId="52B692F7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>Information source</w:t>
            </w:r>
          </w:p>
        </w:tc>
        <w:tc>
          <w:tcPr>
            <w:tcW w:w="439" w:type="pct"/>
            <w:vAlign w:val="center"/>
          </w:tcPr>
          <w:p w14:paraId="4130F282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b/>
                <w:bCs/>
                <w:sz w:val="20"/>
                <w:lang w:val="en-GB"/>
              </w:rPr>
              <w:t xml:space="preserve">Time </w:t>
            </w:r>
          </w:p>
        </w:tc>
        <w:tc>
          <w:tcPr>
            <w:tcW w:w="723" w:type="pct"/>
            <w:vAlign w:val="center"/>
          </w:tcPr>
          <w:p w14:paraId="0DD44AD5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5A6329" w:rsidRPr="00F02FAB" w14:paraId="3967EEC4" w14:textId="77777777" w:rsidTr="004E2B20">
        <w:trPr>
          <w:trHeight w:val="433"/>
        </w:trPr>
        <w:tc>
          <w:tcPr>
            <w:tcW w:w="5000" w:type="pct"/>
            <w:gridSpan w:val="10"/>
            <w:vAlign w:val="center"/>
          </w:tcPr>
          <w:p w14:paraId="67E78F0E" w14:textId="0453A31C" w:rsidR="005A6329" w:rsidRPr="00F02FAB" w:rsidRDefault="00F5006C" w:rsidP="004E2B20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Bilateral outcome</w:t>
            </w:r>
            <w:r w:rsidRPr="00F02FAB">
              <w:rPr>
                <w:b/>
                <w:bCs/>
                <w:sz w:val="20"/>
                <w:lang w:val="en-GB"/>
              </w:rPr>
              <w:t xml:space="preserve"> </w:t>
            </w:r>
            <w:r w:rsidR="005A6329" w:rsidRPr="00F02FAB">
              <w:rPr>
                <w:b/>
                <w:bCs/>
                <w:sz w:val="20"/>
                <w:lang w:val="en-GB"/>
              </w:rPr>
              <w:t xml:space="preserve">indicator </w:t>
            </w:r>
          </w:p>
        </w:tc>
      </w:tr>
      <w:tr w:rsidR="005A6329" w:rsidRPr="00F02FAB" w14:paraId="1E1BD10B" w14:textId="77777777" w:rsidTr="004E2B20">
        <w:trPr>
          <w:trHeight w:val="426"/>
        </w:trPr>
        <w:tc>
          <w:tcPr>
            <w:tcW w:w="246" w:type="pct"/>
          </w:tcPr>
          <w:p w14:paraId="633FB782" w14:textId="77777777" w:rsidR="005A6329" w:rsidRPr="00F02FAB" w:rsidRDefault="005A6329" w:rsidP="004E2B20">
            <w:pPr>
              <w:jc w:val="center"/>
              <w:rPr>
                <w:bCs/>
                <w:sz w:val="20"/>
                <w:lang w:val="en-GB"/>
              </w:rPr>
            </w:pPr>
            <w:r w:rsidRPr="00F02FAB">
              <w:rPr>
                <w:bCs/>
                <w:sz w:val="20"/>
                <w:lang w:val="en-GB"/>
              </w:rPr>
              <w:t>1.</w:t>
            </w:r>
          </w:p>
        </w:tc>
        <w:tc>
          <w:tcPr>
            <w:tcW w:w="594" w:type="pct"/>
          </w:tcPr>
          <w:p w14:paraId="1E6FDC0E" w14:textId="16C23A22" w:rsidR="005A6329" w:rsidRPr="00F02FAB" w:rsidRDefault="005A6329" w:rsidP="00C84C0E">
            <w:pPr>
              <w:ind w:left="34" w:hanging="34"/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Level of satisfaction with the partnership (</w:t>
            </w:r>
            <w:r w:rsidR="00C84C0E">
              <w:rPr>
                <w:sz w:val="20"/>
                <w:lang w:val="en-GB"/>
              </w:rPr>
              <w:t>disaggregated by State type</w:t>
            </w:r>
            <w:r w:rsidRPr="00F02FAB">
              <w:rPr>
                <w:sz w:val="20"/>
                <w:lang w:val="en-GB"/>
              </w:rPr>
              <w:t>)</w:t>
            </w:r>
          </w:p>
        </w:tc>
        <w:tc>
          <w:tcPr>
            <w:tcW w:w="420" w:type="pct"/>
          </w:tcPr>
          <w:p w14:paraId="4459D928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At least 4.5 and a positive change in baseline</w:t>
            </w:r>
          </w:p>
        </w:tc>
        <w:tc>
          <w:tcPr>
            <w:tcW w:w="532" w:type="pct"/>
          </w:tcPr>
          <w:p w14:paraId="45ECA5BA" w14:textId="77777777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38" w:type="pct"/>
          </w:tcPr>
          <w:p w14:paraId="229EB460" w14:textId="77777777" w:rsidR="005A6329" w:rsidRPr="00F02FAB" w:rsidRDefault="005A6329" w:rsidP="004E2B20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Scale from 1 to 7</w:t>
            </w:r>
          </w:p>
        </w:tc>
        <w:tc>
          <w:tcPr>
            <w:tcW w:w="585" w:type="pct"/>
          </w:tcPr>
          <w:p w14:paraId="3D7A9E9E" w14:textId="77777777" w:rsidR="005A6329" w:rsidRPr="00F02FAB" w:rsidRDefault="005A6329" w:rsidP="004E2B20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488" w:type="pct"/>
          </w:tcPr>
          <w:p w14:paraId="2423E1C7" w14:textId="77777777" w:rsidR="005A6329" w:rsidRPr="00F02FAB" w:rsidRDefault="005A6329" w:rsidP="004E2B20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Survey of all project promoters and / or partners</w:t>
            </w:r>
          </w:p>
        </w:tc>
        <w:tc>
          <w:tcPr>
            <w:tcW w:w="535" w:type="pct"/>
          </w:tcPr>
          <w:p w14:paraId="0F99429F" w14:textId="0C0458CE" w:rsidR="005A6329" w:rsidRPr="00F02FAB" w:rsidRDefault="005A6329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Primary sources - </w:t>
            </w:r>
            <w:r w:rsidR="00630988">
              <w:rPr>
                <w:sz w:val="20"/>
                <w:lang w:val="en-GB"/>
              </w:rPr>
              <w:t>Survey</w:t>
            </w:r>
            <w:r w:rsidRPr="00F02FAB">
              <w:rPr>
                <w:sz w:val="20"/>
                <w:lang w:val="en-GB"/>
              </w:rPr>
              <w:t xml:space="preserve"> conducted </w:t>
            </w:r>
            <w:r w:rsidR="00630988">
              <w:rPr>
                <w:sz w:val="20"/>
                <w:lang w:val="en-GB"/>
              </w:rPr>
              <w:t xml:space="preserve">on behalf of </w:t>
            </w:r>
            <w:r w:rsidRPr="00F02FAB">
              <w:rPr>
                <w:sz w:val="20"/>
                <w:lang w:val="en-GB"/>
              </w:rPr>
              <w:t>the Financial Mechanism</w:t>
            </w:r>
            <w:r w:rsidR="00630988">
              <w:rPr>
                <w:sz w:val="20"/>
                <w:lang w:val="en-GB"/>
              </w:rPr>
              <w:t xml:space="preserve"> Office</w:t>
            </w:r>
          </w:p>
        </w:tc>
        <w:tc>
          <w:tcPr>
            <w:tcW w:w="439" w:type="pct"/>
          </w:tcPr>
          <w:p w14:paraId="059D9180" w14:textId="3FF0439B" w:rsidR="005A6329" w:rsidRPr="00F02FAB" w:rsidRDefault="006C20AB" w:rsidP="004E2B20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Following the survey administered upon completion of the projects</w:t>
            </w:r>
          </w:p>
        </w:tc>
        <w:tc>
          <w:tcPr>
            <w:tcW w:w="723" w:type="pct"/>
          </w:tcPr>
          <w:p w14:paraId="08E396C6" w14:textId="301CF529" w:rsidR="005A6329" w:rsidRPr="00F02FAB" w:rsidRDefault="003C437D" w:rsidP="004E2B20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FMO</w:t>
            </w:r>
          </w:p>
        </w:tc>
      </w:tr>
      <w:tr w:rsidR="006C20AB" w:rsidRPr="00F02FAB" w14:paraId="38069115" w14:textId="77777777" w:rsidTr="004E2B20">
        <w:trPr>
          <w:trHeight w:val="567"/>
        </w:trPr>
        <w:tc>
          <w:tcPr>
            <w:tcW w:w="246" w:type="pct"/>
          </w:tcPr>
          <w:p w14:paraId="2C2F65CB" w14:textId="77777777" w:rsidR="006C20AB" w:rsidRPr="00F02FAB" w:rsidRDefault="006C20AB" w:rsidP="006C20AB">
            <w:pPr>
              <w:jc w:val="center"/>
              <w:rPr>
                <w:bCs/>
                <w:sz w:val="20"/>
                <w:lang w:val="en-GB"/>
              </w:rPr>
            </w:pPr>
            <w:r w:rsidRPr="00F02FAB">
              <w:rPr>
                <w:bCs/>
                <w:sz w:val="20"/>
                <w:lang w:val="en-GB"/>
              </w:rPr>
              <w:t>2.</w:t>
            </w:r>
          </w:p>
        </w:tc>
        <w:tc>
          <w:tcPr>
            <w:tcW w:w="594" w:type="pct"/>
          </w:tcPr>
          <w:p w14:paraId="3160EB92" w14:textId="04FE5F4F" w:rsidR="006C20AB" w:rsidRPr="00F02FAB" w:rsidRDefault="006C20AB" w:rsidP="006C20AB">
            <w:pPr>
              <w:ind w:left="34" w:hanging="34"/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Level of trust between </w:t>
            </w:r>
            <w:r>
              <w:rPr>
                <w:sz w:val="20"/>
                <w:lang w:val="en-GB"/>
              </w:rPr>
              <w:t xml:space="preserve">cooperating </w:t>
            </w:r>
            <w:r w:rsidRPr="00F02FAB">
              <w:rPr>
                <w:sz w:val="20"/>
                <w:lang w:val="en-GB"/>
              </w:rPr>
              <w:t xml:space="preserve">entities </w:t>
            </w:r>
            <w:r>
              <w:rPr>
                <w:sz w:val="20"/>
                <w:lang w:val="en-GB"/>
              </w:rPr>
              <w:t>in Beneficiary States and Donor States</w:t>
            </w:r>
            <w:r w:rsidRPr="00F02FAB">
              <w:rPr>
                <w:sz w:val="20"/>
                <w:lang w:val="en-GB"/>
              </w:rPr>
              <w:t xml:space="preserve"> (</w:t>
            </w:r>
            <w:r>
              <w:rPr>
                <w:sz w:val="20"/>
                <w:lang w:val="en-GB"/>
              </w:rPr>
              <w:t>disaggregated by State type</w:t>
            </w:r>
            <w:r w:rsidRPr="00F02FAB">
              <w:rPr>
                <w:sz w:val="20"/>
                <w:lang w:val="en-GB"/>
              </w:rPr>
              <w:t>)</w:t>
            </w:r>
          </w:p>
        </w:tc>
        <w:tc>
          <w:tcPr>
            <w:tcW w:w="420" w:type="pct"/>
          </w:tcPr>
          <w:p w14:paraId="6E3A1D2C" w14:textId="77777777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At least 4.5 and a positive change in baseline</w:t>
            </w:r>
          </w:p>
        </w:tc>
        <w:tc>
          <w:tcPr>
            <w:tcW w:w="532" w:type="pct"/>
          </w:tcPr>
          <w:p w14:paraId="467E18B8" w14:textId="77777777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38" w:type="pct"/>
          </w:tcPr>
          <w:p w14:paraId="6E872EDF" w14:textId="77777777" w:rsidR="006C20AB" w:rsidRPr="00F02FAB" w:rsidRDefault="006C20AB" w:rsidP="006C20AB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Scale from 1 to 7</w:t>
            </w:r>
          </w:p>
        </w:tc>
        <w:tc>
          <w:tcPr>
            <w:tcW w:w="585" w:type="pct"/>
          </w:tcPr>
          <w:p w14:paraId="531E0DA8" w14:textId="77777777" w:rsidR="006C20AB" w:rsidRPr="00F02FAB" w:rsidRDefault="006C20AB" w:rsidP="006C20AB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Entered</w:t>
            </w:r>
          </w:p>
        </w:tc>
        <w:tc>
          <w:tcPr>
            <w:tcW w:w="488" w:type="pct"/>
          </w:tcPr>
          <w:p w14:paraId="42FECE8E" w14:textId="77777777" w:rsidR="006C20AB" w:rsidRPr="00F02FAB" w:rsidRDefault="006C20AB" w:rsidP="006C20AB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Survey of all project promoters and / or partners</w:t>
            </w:r>
          </w:p>
        </w:tc>
        <w:tc>
          <w:tcPr>
            <w:tcW w:w="535" w:type="pct"/>
          </w:tcPr>
          <w:p w14:paraId="44470656" w14:textId="448ECF16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5006C">
              <w:rPr>
                <w:sz w:val="20"/>
                <w:lang w:val="en-GB"/>
              </w:rPr>
              <w:t>Primary sources - Survey conducted on behalf of the Financial Mechanism Office</w:t>
            </w:r>
          </w:p>
        </w:tc>
        <w:tc>
          <w:tcPr>
            <w:tcW w:w="439" w:type="pct"/>
          </w:tcPr>
          <w:p w14:paraId="73CAE888" w14:textId="1EA8B43D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Following the survey administered upon completion of the projects</w:t>
            </w:r>
          </w:p>
        </w:tc>
        <w:tc>
          <w:tcPr>
            <w:tcW w:w="723" w:type="pct"/>
          </w:tcPr>
          <w:p w14:paraId="4A479AB3" w14:textId="234A9E19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FMO</w:t>
            </w:r>
          </w:p>
        </w:tc>
      </w:tr>
      <w:tr w:rsidR="006C20AB" w:rsidRPr="00F02FAB" w14:paraId="2E35D34B" w14:textId="77777777" w:rsidTr="004E2B20">
        <w:trPr>
          <w:trHeight w:val="567"/>
        </w:trPr>
        <w:tc>
          <w:tcPr>
            <w:tcW w:w="246" w:type="pct"/>
          </w:tcPr>
          <w:p w14:paraId="6EF8941D" w14:textId="77777777" w:rsidR="006C20AB" w:rsidRPr="00F02FAB" w:rsidRDefault="006C20AB" w:rsidP="006C20AB">
            <w:pPr>
              <w:jc w:val="center"/>
              <w:rPr>
                <w:bCs/>
                <w:sz w:val="20"/>
                <w:lang w:val="en-GB"/>
              </w:rPr>
            </w:pPr>
            <w:r w:rsidRPr="00F02FAB">
              <w:rPr>
                <w:bCs/>
                <w:sz w:val="20"/>
                <w:lang w:val="en-GB"/>
              </w:rPr>
              <w:t>3.</w:t>
            </w:r>
          </w:p>
        </w:tc>
        <w:tc>
          <w:tcPr>
            <w:tcW w:w="594" w:type="pct"/>
          </w:tcPr>
          <w:p w14:paraId="5157134C" w14:textId="2059AE51" w:rsidR="006C20AB" w:rsidRPr="00F02FAB" w:rsidRDefault="006C20AB" w:rsidP="006C20AB">
            <w:pPr>
              <w:ind w:left="34" w:hanging="34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Share of cooperating organis</w:t>
            </w:r>
            <w:r w:rsidRPr="00F02FAB">
              <w:rPr>
                <w:sz w:val="20"/>
                <w:lang w:val="en-GB"/>
              </w:rPr>
              <w:t xml:space="preserve">ations </w:t>
            </w:r>
            <w:r>
              <w:rPr>
                <w:sz w:val="20"/>
                <w:lang w:val="en-GB"/>
              </w:rPr>
              <w:t xml:space="preserve">that apply </w:t>
            </w:r>
            <w:r w:rsidRPr="00F02FAB">
              <w:rPr>
                <w:sz w:val="20"/>
                <w:lang w:val="en-GB"/>
              </w:rPr>
              <w:t xml:space="preserve">the knowledge </w:t>
            </w:r>
            <w:r>
              <w:rPr>
                <w:sz w:val="20"/>
                <w:lang w:val="en-GB"/>
              </w:rPr>
              <w:t>acquired from bilateral</w:t>
            </w:r>
            <w:r w:rsidRPr="00F02FAB">
              <w:rPr>
                <w:sz w:val="20"/>
                <w:lang w:val="en-GB"/>
              </w:rPr>
              <w:t xml:space="preserve"> partnership</w:t>
            </w:r>
            <w:r>
              <w:rPr>
                <w:sz w:val="20"/>
                <w:lang w:val="en-GB"/>
              </w:rPr>
              <w:t xml:space="preserve"> (disaggregated by State type)</w:t>
            </w:r>
          </w:p>
        </w:tc>
        <w:tc>
          <w:tcPr>
            <w:tcW w:w="420" w:type="pct"/>
          </w:tcPr>
          <w:p w14:paraId="148C20B4" w14:textId="77777777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50%</w:t>
            </w:r>
          </w:p>
        </w:tc>
        <w:tc>
          <w:tcPr>
            <w:tcW w:w="532" w:type="pct"/>
          </w:tcPr>
          <w:p w14:paraId="5ECF67EA" w14:textId="77777777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38" w:type="pct"/>
          </w:tcPr>
          <w:p w14:paraId="55D263A2" w14:textId="77777777" w:rsidR="006C20AB" w:rsidRPr="00F02FAB" w:rsidRDefault="006C20AB" w:rsidP="006C20AB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Percent </w:t>
            </w:r>
          </w:p>
        </w:tc>
        <w:tc>
          <w:tcPr>
            <w:tcW w:w="585" w:type="pct"/>
          </w:tcPr>
          <w:p w14:paraId="03451FB6" w14:textId="77777777" w:rsidR="006C20AB" w:rsidRPr="00F02FAB" w:rsidRDefault="006C20AB" w:rsidP="006C20AB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488" w:type="pct"/>
          </w:tcPr>
          <w:p w14:paraId="0DDE4523" w14:textId="77777777" w:rsidR="006C20AB" w:rsidRPr="00F02FAB" w:rsidRDefault="006C20AB" w:rsidP="006C20AB">
            <w:pPr>
              <w:rPr>
                <w:b/>
                <w:bCs/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Survey of all project promoters and / or partners</w:t>
            </w:r>
          </w:p>
        </w:tc>
        <w:tc>
          <w:tcPr>
            <w:tcW w:w="535" w:type="pct"/>
          </w:tcPr>
          <w:p w14:paraId="230F1627" w14:textId="06B3CA84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 w:rsidRPr="00F5006C">
              <w:rPr>
                <w:sz w:val="20"/>
                <w:lang w:val="en-GB"/>
              </w:rPr>
              <w:t>Primary sources - Survey conducted on behalf of the Financial Mechanism Office</w:t>
            </w:r>
          </w:p>
        </w:tc>
        <w:tc>
          <w:tcPr>
            <w:tcW w:w="439" w:type="pct"/>
          </w:tcPr>
          <w:p w14:paraId="14D196C2" w14:textId="53765483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Following the survey administered upon completion of the projects</w:t>
            </w:r>
          </w:p>
        </w:tc>
        <w:tc>
          <w:tcPr>
            <w:tcW w:w="723" w:type="pct"/>
          </w:tcPr>
          <w:p w14:paraId="479159FB" w14:textId="23F0947C" w:rsidR="006C20AB" w:rsidRPr="00F02FAB" w:rsidRDefault="006C20AB" w:rsidP="006C20AB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FMO</w:t>
            </w:r>
          </w:p>
        </w:tc>
      </w:tr>
      <w:tr w:rsidR="006C20AB" w:rsidRPr="00F02FAB" w14:paraId="74DA4AFA" w14:textId="77777777" w:rsidTr="004E2B20">
        <w:trPr>
          <w:trHeight w:val="470"/>
        </w:trPr>
        <w:tc>
          <w:tcPr>
            <w:tcW w:w="5000" w:type="pct"/>
            <w:gridSpan w:val="10"/>
            <w:vAlign w:val="center"/>
          </w:tcPr>
          <w:p w14:paraId="61F7A74E" w14:textId="13301579" w:rsidR="006C20AB" w:rsidRPr="00F02FAB" w:rsidRDefault="006C20AB" w:rsidP="006C20A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Bilateral output</w:t>
            </w:r>
            <w:r w:rsidRPr="00F02FAB">
              <w:rPr>
                <w:b/>
                <w:sz w:val="20"/>
                <w:lang w:val="en-GB"/>
              </w:rPr>
              <w:t xml:space="preserve"> indicators </w:t>
            </w:r>
          </w:p>
        </w:tc>
      </w:tr>
      <w:tr w:rsidR="006C20AB" w:rsidRPr="00F02FAB" w14:paraId="63CA27EF" w14:textId="77777777" w:rsidTr="004E2B20">
        <w:tc>
          <w:tcPr>
            <w:tcW w:w="246" w:type="pct"/>
          </w:tcPr>
          <w:p w14:paraId="757B4B62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1.</w:t>
            </w:r>
          </w:p>
        </w:tc>
        <w:tc>
          <w:tcPr>
            <w:tcW w:w="594" w:type="pct"/>
          </w:tcPr>
          <w:p w14:paraId="1607E477" w14:textId="1297C26E" w:rsidR="006C20AB" w:rsidRPr="00F02FAB" w:rsidRDefault="006C20AB" w:rsidP="006C20A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participants from B</w:t>
            </w:r>
            <w:r w:rsidRPr="00F02FAB">
              <w:rPr>
                <w:sz w:val="20"/>
                <w:lang w:val="en-GB"/>
              </w:rPr>
              <w:t xml:space="preserve">eneficiary </w:t>
            </w:r>
            <w:r>
              <w:rPr>
                <w:sz w:val="20"/>
                <w:lang w:val="en-GB"/>
              </w:rPr>
              <w:t xml:space="preserve">States </w:t>
            </w:r>
            <w:r w:rsidRPr="00F02FAB">
              <w:rPr>
                <w:sz w:val="20"/>
                <w:lang w:val="en-GB"/>
              </w:rPr>
              <w:t>in exchange</w:t>
            </w:r>
            <w:r>
              <w:rPr>
                <w:sz w:val="20"/>
                <w:lang w:val="en-GB"/>
              </w:rPr>
              <w:t xml:space="preserve">s </w:t>
            </w:r>
            <w:r w:rsidRPr="00F02FAB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disaggregated by gender, Donor State</w:t>
            </w:r>
            <w:r w:rsidRPr="00F02FAB">
              <w:rPr>
                <w:sz w:val="20"/>
                <w:lang w:val="en-GB"/>
              </w:rPr>
              <w:t>)</w:t>
            </w:r>
          </w:p>
        </w:tc>
        <w:tc>
          <w:tcPr>
            <w:tcW w:w="420" w:type="pct"/>
          </w:tcPr>
          <w:p w14:paraId="47D4786E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20</w:t>
            </w:r>
          </w:p>
        </w:tc>
        <w:tc>
          <w:tcPr>
            <w:tcW w:w="532" w:type="pct"/>
          </w:tcPr>
          <w:p w14:paraId="3D1CED93" w14:textId="77777777" w:rsidR="006C20AB" w:rsidRPr="00F02FAB" w:rsidRDefault="006C20AB" w:rsidP="006C20AB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</w:tc>
        <w:tc>
          <w:tcPr>
            <w:tcW w:w="438" w:type="pct"/>
          </w:tcPr>
          <w:p w14:paraId="19D30389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85" w:type="pct"/>
          </w:tcPr>
          <w:p w14:paraId="4F3B5E29" w14:textId="77777777" w:rsidR="006C20AB" w:rsidRPr="00F02FAB" w:rsidRDefault="006C20AB" w:rsidP="006C20AB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488" w:type="pct"/>
          </w:tcPr>
          <w:p w14:paraId="339817FF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All employees from beneficiary countries participating in the exchange are counted </w:t>
            </w:r>
          </w:p>
        </w:tc>
        <w:tc>
          <w:tcPr>
            <w:tcW w:w="535" w:type="pct"/>
          </w:tcPr>
          <w:p w14:paraId="6CDD67F4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Primary sources - documents of the Project promoter and / or partners (for example, lists of participants, business trip orders, etc.)</w:t>
            </w:r>
          </w:p>
          <w:p w14:paraId="04E9DF13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1B1F90E1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Secondary sources - </w:t>
            </w:r>
            <w:r w:rsidRPr="00F02FAB">
              <w:rPr>
                <w:sz w:val="20"/>
                <w:lang w:val="en-GB"/>
              </w:rPr>
              <w:lastRenderedPageBreak/>
              <w:t>payment requests</w:t>
            </w:r>
          </w:p>
        </w:tc>
        <w:tc>
          <w:tcPr>
            <w:tcW w:w="439" w:type="pct"/>
          </w:tcPr>
          <w:p w14:paraId="2505CB53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lastRenderedPageBreak/>
              <w:t xml:space="preserve">Data on the achievement of the indicator are collected at least once every six months according to the periodicity of </w:t>
            </w:r>
            <w:r w:rsidRPr="00F02FAB">
              <w:rPr>
                <w:sz w:val="20"/>
                <w:lang w:val="en-GB"/>
              </w:rPr>
              <w:lastRenderedPageBreak/>
              <w:t xml:space="preserve">submission of payment requests (PR). </w:t>
            </w:r>
          </w:p>
          <w:p w14:paraId="6A5602D8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00B8148E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The indicator is considered to have been achieved when the final PR of the Project is approved. </w:t>
            </w:r>
          </w:p>
        </w:tc>
        <w:tc>
          <w:tcPr>
            <w:tcW w:w="723" w:type="pct"/>
          </w:tcPr>
          <w:p w14:paraId="30F93745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lastRenderedPageBreak/>
              <w:t>Project promoter</w:t>
            </w:r>
          </w:p>
        </w:tc>
      </w:tr>
      <w:tr w:rsidR="006C20AB" w:rsidRPr="00F02FAB" w14:paraId="3A9A0725" w14:textId="77777777" w:rsidTr="004E2B20">
        <w:trPr>
          <w:trHeight w:val="710"/>
        </w:trPr>
        <w:tc>
          <w:tcPr>
            <w:tcW w:w="246" w:type="pct"/>
          </w:tcPr>
          <w:p w14:paraId="5D6AE74F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2.</w:t>
            </w:r>
          </w:p>
        </w:tc>
        <w:tc>
          <w:tcPr>
            <w:tcW w:w="594" w:type="pct"/>
          </w:tcPr>
          <w:p w14:paraId="69389E02" w14:textId="21E93FC6" w:rsidR="006C20AB" w:rsidRPr="00F02FAB" w:rsidRDefault="006C20AB" w:rsidP="006C20A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participants from D</w:t>
            </w:r>
            <w:r w:rsidRPr="00F02FAB">
              <w:rPr>
                <w:sz w:val="20"/>
                <w:lang w:val="en-GB"/>
              </w:rPr>
              <w:t xml:space="preserve">onor </w:t>
            </w:r>
            <w:r>
              <w:rPr>
                <w:sz w:val="20"/>
                <w:lang w:val="en-GB"/>
              </w:rPr>
              <w:t>States</w:t>
            </w:r>
            <w:r w:rsidRPr="00F02FAB">
              <w:rPr>
                <w:sz w:val="20"/>
                <w:lang w:val="en-GB"/>
              </w:rPr>
              <w:t xml:space="preserve"> in exchange</w:t>
            </w:r>
            <w:r>
              <w:rPr>
                <w:sz w:val="20"/>
                <w:lang w:val="en-GB"/>
              </w:rPr>
              <w:t>s</w:t>
            </w:r>
            <w:r w:rsidRPr="00F02FAB">
              <w:rPr>
                <w:sz w:val="20"/>
                <w:lang w:val="en-GB"/>
              </w:rPr>
              <w:t xml:space="preserve"> (</w:t>
            </w:r>
            <w:r>
              <w:rPr>
                <w:sz w:val="20"/>
                <w:lang w:val="en-GB"/>
              </w:rPr>
              <w:t>disaggregated by gender, Donor State</w:t>
            </w:r>
            <w:r w:rsidRPr="00F02FAB">
              <w:rPr>
                <w:sz w:val="20"/>
                <w:lang w:val="en-GB"/>
              </w:rPr>
              <w:t>)</w:t>
            </w:r>
          </w:p>
          <w:p w14:paraId="3C12AA8A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</w:tc>
        <w:tc>
          <w:tcPr>
            <w:tcW w:w="420" w:type="pct"/>
          </w:tcPr>
          <w:p w14:paraId="3325349E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12</w:t>
            </w:r>
          </w:p>
          <w:p w14:paraId="35606BFD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4F1B938A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</w:tc>
        <w:tc>
          <w:tcPr>
            <w:tcW w:w="532" w:type="pct"/>
          </w:tcPr>
          <w:p w14:paraId="6FF7EBAC" w14:textId="77777777" w:rsidR="006C20AB" w:rsidRPr="00F02FAB" w:rsidRDefault="006C20AB" w:rsidP="006C20AB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</w:tc>
        <w:tc>
          <w:tcPr>
            <w:tcW w:w="438" w:type="pct"/>
          </w:tcPr>
          <w:p w14:paraId="15191DD2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85" w:type="pct"/>
          </w:tcPr>
          <w:p w14:paraId="7F99D056" w14:textId="77777777" w:rsidR="006C20AB" w:rsidRPr="00F02FAB" w:rsidRDefault="006C20AB" w:rsidP="006C20AB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488" w:type="pct"/>
          </w:tcPr>
          <w:p w14:paraId="4ADA6548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All employees from donor countries participating in the exchange are counted</w:t>
            </w:r>
          </w:p>
        </w:tc>
        <w:tc>
          <w:tcPr>
            <w:tcW w:w="535" w:type="pct"/>
          </w:tcPr>
          <w:p w14:paraId="376C66AE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Primary sources - documents of the Project promoter and / or partners (for example, lists of participants, business trip orders, etc.)</w:t>
            </w:r>
          </w:p>
          <w:p w14:paraId="54ABEDC9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62CE2A49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Secondary sources - payment requests</w:t>
            </w:r>
          </w:p>
          <w:p w14:paraId="1A390C70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199ED6F8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</w:tc>
        <w:tc>
          <w:tcPr>
            <w:tcW w:w="439" w:type="pct"/>
          </w:tcPr>
          <w:p w14:paraId="7DA996FF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Data on the achievement of the indicator are collected at least once every six months according to the periodicity of submission of payment requests (PR). </w:t>
            </w:r>
          </w:p>
          <w:p w14:paraId="6E12A999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5D014140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The indicator is considered to have been achieved when the final PR of the Project is approved. </w:t>
            </w:r>
          </w:p>
        </w:tc>
        <w:tc>
          <w:tcPr>
            <w:tcW w:w="723" w:type="pct"/>
          </w:tcPr>
          <w:p w14:paraId="14311908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Project promoter </w:t>
            </w:r>
          </w:p>
        </w:tc>
      </w:tr>
      <w:tr w:rsidR="006C20AB" w:rsidRPr="00F02FAB" w14:paraId="59AC168F" w14:textId="77777777" w:rsidTr="004E2B20">
        <w:tc>
          <w:tcPr>
            <w:tcW w:w="246" w:type="pct"/>
          </w:tcPr>
          <w:p w14:paraId="4210FBF8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3.</w:t>
            </w:r>
          </w:p>
        </w:tc>
        <w:tc>
          <w:tcPr>
            <w:tcW w:w="594" w:type="pct"/>
          </w:tcPr>
          <w:p w14:paraId="209F37A8" w14:textId="5058A5E8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Number of projects </w:t>
            </w:r>
            <w:r>
              <w:rPr>
                <w:sz w:val="20"/>
                <w:lang w:val="en-GB"/>
              </w:rPr>
              <w:t>involving</w:t>
            </w:r>
            <w:r w:rsidRPr="00F02FA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cooperation with a Donor Project Partner</w:t>
            </w:r>
            <w:r w:rsidRPr="00F02FAB">
              <w:rPr>
                <w:sz w:val="20"/>
                <w:lang w:val="en-GB"/>
              </w:rPr>
              <w:t xml:space="preserve"> </w:t>
            </w:r>
            <w:r w:rsidRPr="00F02FAB">
              <w:rPr>
                <w:sz w:val="20"/>
                <w:lang w:val="en-GB"/>
              </w:rPr>
              <w:lastRenderedPageBreak/>
              <w:t>(</w:t>
            </w:r>
            <w:r>
              <w:rPr>
                <w:sz w:val="20"/>
                <w:lang w:val="en-GB"/>
              </w:rPr>
              <w:t>disaggregated by Donor State</w:t>
            </w:r>
            <w:r w:rsidRPr="00F02FAB">
              <w:rPr>
                <w:sz w:val="20"/>
                <w:lang w:val="en-GB"/>
              </w:rPr>
              <w:t>)</w:t>
            </w:r>
          </w:p>
        </w:tc>
        <w:tc>
          <w:tcPr>
            <w:tcW w:w="420" w:type="pct"/>
          </w:tcPr>
          <w:p w14:paraId="1726E45A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</w:tc>
        <w:tc>
          <w:tcPr>
            <w:tcW w:w="532" w:type="pct"/>
          </w:tcPr>
          <w:p w14:paraId="4A130CA3" w14:textId="77777777" w:rsidR="006C20AB" w:rsidRPr="00F02FAB" w:rsidRDefault="006C20AB" w:rsidP="006C20AB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</w:p>
        </w:tc>
        <w:tc>
          <w:tcPr>
            <w:tcW w:w="438" w:type="pct"/>
          </w:tcPr>
          <w:p w14:paraId="57D8AF0B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Number </w:t>
            </w:r>
          </w:p>
        </w:tc>
        <w:tc>
          <w:tcPr>
            <w:tcW w:w="585" w:type="pct"/>
          </w:tcPr>
          <w:p w14:paraId="2EC00D11" w14:textId="77777777" w:rsidR="006C20AB" w:rsidRPr="00F02FAB" w:rsidRDefault="006C20AB" w:rsidP="006C20AB">
            <w:pPr>
              <w:jc w:val="center"/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Entered </w:t>
            </w:r>
          </w:p>
        </w:tc>
        <w:tc>
          <w:tcPr>
            <w:tcW w:w="488" w:type="pct"/>
          </w:tcPr>
          <w:p w14:paraId="18C21760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All projects implemented in partnership with partners of donor </w:t>
            </w:r>
            <w:r w:rsidRPr="00F02FAB">
              <w:rPr>
                <w:sz w:val="20"/>
                <w:lang w:val="en-GB"/>
              </w:rPr>
              <w:lastRenderedPageBreak/>
              <w:t>countries are counted</w:t>
            </w:r>
          </w:p>
        </w:tc>
        <w:tc>
          <w:tcPr>
            <w:tcW w:w="535" w:type="pct"/>
          </w:tcPr>
          <w:p w14:paraId="69077B50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lastRenderedPageBreak/>
              <w:t>Primary sources - partnership agreements and Project agreements.</w:t>
            </w:r>
          </w:p>
          <w:p w14:paraId="5F12AA2A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6A1701FE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>Secondary sources - final payment request</w:t>
            </w:r>
          </w:p>
        </w:tc>
        <w:tc>
          <w:tcPr>
            <w:tcW w:w="439" w:type="pct"/>
          </w:tcPr>
          <w:p w14:paraId="0FB46D54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lastRenderedPageBreak/>
              <w:t xml:space="preserve">Data on the achievement of the indicator are collected at </w:t>
            </w:r>
            <w:r w:rsidRPr="00F02FAB">
              <w:rPr>
                <w:sz w:val="20"/>
                <w:lang w:val="en-GB"/>
              </w:rPr>
              <w:lastRenderedPageBreak/>
              <w:t xml:space="preserve">least once every six months according to the periodicity of submission of payment requests (PR). </w:t>
            </w:r>
          </w:p>
          <w:p w14:paraId="17D2F341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</w:p>
          <w:p w14:paraId="12CABFE2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t xml:space="preserve">The indicator is considered to have been achieved when the final PR of the Project is approved. </w:t>
            </w:r>
          </w:p>
        </w:tc>
        <w:tc>
          <w:tcPr>
            <w:tcW w:w="723" w:type="pct"/>
          </w:tcPr>
          <w:p w14:paraId="07300E95" w14:textId="77777777" w:rsidR="006C20AB" w:rsidRPr="00F02FAB" w:rsidRDefault="006C20AB" w:rsidP="006C20AB">
            <w:pPr>
              <w:rPr>
                <w:sz w:val="20"/>
                <w:lang w:val="en-GB"/>
              </w:rPr>
            </w:pPr>
            <w:r w:rsidRPr="00F02FAB">
              <w:rPr>
                <w:sz w:val="20"/>
                <w:lang w:val="en-GB"/>
              </w:rPr>
              <w:lastRenderedPageBreak/>
              <w:t xml:space="preserve">Project promoter </w:t>
            </w:r>
          </w:p>
        </w:tc>
      </w:tr>
    </w:tbl>
    <w:p w14:paraId="65B08054" w14:textId="77777777" w:rsidR="005A6329" w:rsidRDefault="005A6329" w:rsidP="005A6329">
      <w:pPr>
        <w:tabs>
          <w:tab w:val="left" w:pos="2300"/>
          <w:tab w:val="center" w:pos="7001"/>
        </w:tabs>
        <w:rPr>
          <w:lang w:val="en-GB"/>
        </w:rPr>
      </w:pPr>
    </w:p>
    <w:p w14:paraId="691E3505" w14:textId="77777777" w:rsidR="005A6329" w:rsidRDefault="005A6329" w:rsidP="005A6329">
      <w:pPr>
        <w:tabs>
          <w:tab w:val="left" w:pos="2300"/>
          <w:tab w:val="center" w:pos="7001"/>
        </w:tabs>
        <w:rPr>
          <w:lang w:val="en-GB"/>
        </w:rPr>
      </w:pPr>
    </w:p>
    <w:p w14:paraId="4EB47E41" w14:textId="58A14585" w:rsidR="00CE5565" w:rsidRPr="00545EA2" w:rsidRDefault="005A6329" w:rsidP="005A6329">
      <w:pPr>
        <w:tabs>
          <w:tab w:val="left" w:pos="2300"/>
          <w:tab w:val="center" w:pos="7001"/>
        </w:tabs>
        <w:rPr>
          <w:b/>
          <w:lang w:val="en-GB"/>
        </w:rPr>
      </w:pPr>
      <w:r>
        <w:rPr>
          <w:b/>
          <w:lang w:val="en-GB"/>
        </w:rPr>
        <w:tab/>
      </w:r>
      <w:r w:rsidR="00CE5565" w:rsidRPr="00545EA2">
        <w:rPr>
          <w:b/>
          <w:lang w:val="en-GB"/>
        </w:rPr>
        <w:t>METHODOLOGY FOR CALCULATING PROJECT CONTINUITY INDICATORS</w:t>
      </w:r>
    </w:p>
    <w:p w14:paraId="4A64C301" w14:textId="7D5C5834" w:rsidR="006635E7" w:rsidRPr="00545EA2" w:rsidRDefault="006635E7" w:rsidP="00384AE3">
      <w:pPr>
        <w:jc w:val="center"/>
        <w:rPr>
          <w:b/>
          <w:lang w:val="en-GB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0"/>
        <w:gridCol w:w="1202"/>
        <w:gridCol w:w="1523"/>
        <w:gridCol w:w="1254"/>
        <w:gridCol w:w="1675"/>
        <w:gridCol w:w="1397"/>
        <w:gridCol w:w="1531"/>
        <w:gridCol w:w="1257"/>
        <w:gridCol w:w="2070"/>
      </w:tblGrid>
      <w:tr w:rsidR="00CE5565" w:rsidRPr="00545EA2" w14:paraId="0E94713E" w14:textId="77777777" w:rsidTr="004C6241">
        <w:trPr>
          <w:trHeight w:val="907"/>
        </w:trPr>
        <w:tc>
          <w:tcPr>
            <w:tcW w:w="246" w:type="pct"/>
            <w:vAlign w:val="center"/>
          </w:tcPr>
          <w:p w14:paraId="777C8F2D" w14:textId="63DA5617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Indicator No</w:t>
            </w:r>
          </w:p>
        </w:tc>
        <w:tc>
          <w:tcPr>
            <w:tcW w:w="594" w:type="pct"/>
            <w:vAlign w:val="center"/>
          </w:tcPr>
          <w:p w14:paraId="4A259266" w14:textId="77777777" w:rsidR="00CE5565" w:rsidRPr="00545EA2" w:rsidRDefault="00CE5565" w:rsidP="00CE5565">
            <w:pPr>
              <w:ind w:left="34" w:hanging="34"/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Indicator name</w:t>
            </w:r>
          </w:p>
          <w:p w14:paraId="54B958CD" w14:textId="77777777" w:rsidR="00CE5565" w:rsidRPr="00545EA2" w:rsidRDefault="00CE5565" w:rsidP="00CE556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65908272" w14:textId="04C2B319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The target value of the program</w:t>
            </w:r>
          </w:p>
        </w:tc>
        <w:tc>
          <w:tcPr>
            <w:tcW w:w="532" w:type="pct"/>
            <w:vAlign w:val="center"/>
          </w:tcPr>
          <w:p w14:paraId="52F49361" w14:textId="3C5D81BA" w:rsidR="00CE5565" w:rsidRPr="00545EA2" w:rsidRDefault="00CE5565" w:rsidP="00CE5565">
            <w:pPr>
              <w:jc w:val="center"/>
              <w:rPr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Explanation of the indicator</w:t>
            </w:r>
          </w:p>
        </w:tc>
        <w:tc>
          <w:tcPr>
            <w:tcW w:w="2485" w:type="pct"/>
            <w:gridSpan w:val="5"/>
            <w:vAlign w:val="center"/>
          </w:tcPr>
          <w:p w14:paraId="0BC6D339" w14:textId="5753797E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MEASUREMENT OF THE INDICATOR</w:t>
            </w:r>
          </w:p>
        </w:tc>
        <w:tc>
          <w:tcPr>
            <w:tcW w:w="723" w:type="pct"/>
            <w:vAlign w:val="center"/>
          </w:tcPr>
          <w:p w14:paraId="65A1E328" w14:textId="27EAA752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Authority responsible for providing information to the CPMA</w:t>
            </w:r>
          </w:p>
        </w:tc>
      </w:tr>
      <w:tr w:rsidR="00CE5565" w:rsidRPr="00545EA2" w14:paraId="7177E248" w14:textId="77777777" w:rsidTr="004C6241">
        <w:trPr>
          <w:trHeight w:val="567"/>
        </w:trPr>
        <w:tc>
          <w:tcPr>
            <w:tcW w:w="246" w:type="pct"/>
            <w:vAlign w:val="center"/>
          </w:tcPr>
          <w:p w14:paraId="6FC906BA" w14:textId="77777777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94" w:type="pct"/>
            <w:vAlign w:val="center"/>
          </w:tcPr>
          <w:p w14:paraId="0E13F80C" w14:textId="77777777" w:rsidR="00CE5565" w:rsidRPr="00545EA2" w:rsidRDefault="00CE5565" w:rsidP="00CE5565">
            <w:pPr>
              <w:ind w:left="34" w:hanging="34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0" w:type="pct"/>
          </w:tcPr>
          <w:p w14:paraId="2F1F9C2F" w14:textId="77777777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vAlign w:val="center"/>
          </w:tcPr>
          <w:p w14:paraId="6AB776E9" w14:textId="77777777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38" w:type="pct"/>
            <w:vAlign w:val="center"/>
          </w:tcPr>
          <w:p w14:paraId="1B59BF8F" w14:textId="31F99E7E" w:rsidR="00CE5565" w:rsidRPr="00545EA2" w:rsidRDefault="00CE5565" w:rsidP="00CE5565">
            <w:pPr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Unit of measurement</w:t>
            </w:r>
          </w:p>
        </w:tc>
        <w:tc>
          <w:tcPr>
            <w:tcW w:w="585" w:type="pct"/>
            <w:vAlign w:val="center"/>
          </w:tcPr>
          <w:p w14:paraId="5D168E8A" w14:textId="13B459D9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 xml:space="preserve">Type of calculation </w:t>
            </w:r>
          </w:p>
        </w:tc>
        <w:tc>
          <w:tcPr>
            <w:tcW w:w="488" w:type="pct"/>
            <w:vAlign w:val="center"/>
          </w:tcPr>
          <w:p w14:paraId="456729CF" w14:textId="3897852E" w:rsidR="00CE5565" w:rsidRPr="00545EA2" w:rsidRDefault="00CE5565" w:rsidP="00CE5565">
            <w:pPr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 xml:space="preserve">Method of calculation </w:t>
            </w:r>
          </w:p>
        </w:tc>
        <w:tc>
          <w:tcPr>
            <w:tcW w:w="535" w:type="pct"/>
            <w:vAlign w:val="center"/>
          </w:tcPr>
          <w:p w14:paraId="21BBD6B3" w14:textId="64320258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>Information source</w:t>
            </w:r>
          </w:p>
        </w:tc>
        <w:tc>
          <w:tcPr>
            <w:tcW w:w="439" w:type="pct"/>
            <w:vAlign w:val="center"/>
          </w:tcPr>
          <w:p w14:paraId="3E28451A" w14:textId="6946C4BE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45EA2">
              <w:rPr>
                <w:b/>
                <w:bCs/>
                <w:sz w:val="20"/>
                <w:lang w:val="en-GB"/>
              </w:rPr>
              <w:t xml:space="preserve">Time </w:t>
            </w:r>
          </w:p>
        </w:tc>
        <w:tc>
          <w:tcPr>
            <w:tcW w:w="723" w:type="pct"/>
            <w:vAlign w:val="center"/>
          </w:tcPr>
          <w:p w14:paraId="29EFD981" w14:textId="77777777" w:rsidR="00CE5565" w:rsidRPr="00545EA2" w:rsidRDefault="00CE5565" w:rsidP="00CE5565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A5182E" w:rsidRPr="00545EA2" w14:paraId="306ADDF8" w14:textId="77777777" w:rsidTr="004C6241">
        <w:trPr>
          <w:trHeight w:val="433"/>
        </w:trPr>
        <w:tc>
          <w:tcPr>
            <w:tcW w:w="5000" w:type="pct"/>
            <w:gridSpan w:val="10"/>
            <w:vAlign w:val="center"/>
          </w:tcPr>
          <w:p w14:paraId="1F30DBBE" w14:textId="1ED8468D" w:rsidR="00A5182E" w:rsidRPr="00545EA2" w:rsidRDefault="006C20AB" w:rsidP="000B1540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Outcome</w:t>
            </w:r>
            <w:r w:rsidRPr="00545EA2">
              <w:rPr>
                <w:b/>
                <w:bCs/>
                <w:sz w:val="20"/>
                <w:lang w:val="en-GB"/>
              </w:rPr>
              <w:t xml:space="preserve"> </w:t>
            </w:r>
            <w:r w:rsidR="00CE5565" w:rsidRPr="00545EA2">
              <w:rPr>
                <w:b/>
                <w:bCs/>
                <w:sz w:val="20"/>
                <w:lang w:val="en-GB"/>
              </w:rPr>
              <w:t xml:space="preserve">indicator </w:t>
            </w:r>
          </w:p>
        </w:tc>
      </w:tr>
      <w:tr w:rsidR="009F528E" w:rsidRPr="00545EA2" w14:paraId="6DBF81E2" w14:textId="77777777" w:rsidTr="00CE5565">
        <w:tc>
          <w:tcPr>
            <w:tcW w:w="246" w:type="pct"/>
          </w:tcPr>
          <w:p w14:paraId="618C090B" w14:textId="09F8D53B" w:rsidR="009F528E" w:rsidRPr="00545EA2" w:rsidRDefault="009F528E" w:rsidP="000B1540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1.</w:t>
            </w:r>
          </w:p>
        </w:tc>
        <w:tc>
          <w:tcPr>
            <w:tcW w:w="594" w:type="pct"/>
          </w:tcPr>
          <w:p w14:paraId="19FFDD9B" w14:textId="0F4FFAF7" w:rsidR="00CE5565" w:rsidRPr="00545EA2" w:rsidRDefault="00CE5565" w:rsidP="00147CC7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>Number of individuals having received the service per year after the end of the project implementation period</w:t>
            </w:r>
          </w:p>
          <w:p w14:paraId="546E8AE8" w14:textId="77777777" w:rsidR="00CE5565" w:rsidRPr="00545EA2" w:rsidRDefault="00CE5565" w:rsidP="00147CC7">
            <w:pPr>
              <w:rPr>
                <w:sz w:val="20"/>
                <w:lang w:val="en-GB"/>
              </w:rPr>
            </w:pPr>
          </w:p>
          <w:p w14:paraId="5443C429" w14:textId="0A5B94C0" w:rsidR="009F528E" w:rsidRPr="00545EA2" w:rsidRDefault="009F528E" w:rsidP="00147CC7">
            <w:pPr>
              <w:rPr>
                <w:sz w:val="20"/>
                <w:lang w:val="en-GB"/>
              </w:rPr>
            </w:pPr>
          </w:p>
        </w:tc>
        <w:tc>
          <w:tcPr>
            <w:tcW w:w="420" w:type="pct"/>
          </w:tcPr>
          <w:p w14:paraId="4B86ACA6" w14:textId="7A978EFD" w:rsidR="00CE5565" w:rsidRPr="00545EA2" w:rsidRDefault="00CE5565" w:rsidP="000B1540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lastRenderedPageBreak/>
              <w:t xml:space="preserve">The target value is selected by the Applicant and is substantiated in section 5 of the </w:t>
            </w:r>
            <w:r w:rsidR="00545EA2" w:rsidRPr="00545EA2">
              <w:rPr>
                <w:sz w:val="20"/>
                <w:lang w:val="en-GB"/>
              </w:rPr>
              <w:lastRenderedPageBreak/>
              <w:t xml:space="preserve">request </w:t>
            </w:r>
            <w:r w:rsidRPr="00545EA2">
              <w:rPr>
                <w:sz w:val="20"/>
                <w:lang w:val="en-GB"/>
              </w:rPr>
              <w:t>form</w:t>
            </w:r>
          </w:p>
          <w:p w14:paraId="222F97AE" w14:textId="77777777" w:rsidR="00CE5565" w:rsidRPr="00545EA2" w:rsidRDefault="00CE5565" w:rsidP="000B1540">
            <w:pPr>
              <w:rPr>
                <w:sz w:val="20"/>
                <w:lang w:val="en-GB"/>
              </w:rPr>
            </w:pPr>
          </w:p>
          <w:p w14:paraId="46C93894" w14:textId="2F4F4929" w:rsidR="009F528E" w:rsidRPr="00545EA2" w:rsidRDefault="009F528E" w:rsidP="000B1540">
            <w:pPr>
              <w:rPr>
                <w:sz w:val="20"/>
                <w:lang w:val="en-GB"/>
              </w:rPr>
            </w:pPr>
          </w:p>
        </w:tc>
        <w:tc>
          <w:tcPr>
            <w:tcW w:w="532" w:type="pct"/>
          </w:tcPr>
          <w:p w14:paraId="2190F0C0" w14:textId="6B629AAE" w:rsidR="00545EA2" w:rsidRPr="00545EA2" w:rsidRDefault="00545EA2" w:rsidP="004A48A9">
            <w:pPr>
              <w:suppressAutoHyphens/>
              <w:textAlignment w:val="center"/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lastRenderedPageBreak/>
              <w:t xml:space="preserve">Number of individuals from 18 years of age (inclusive) and above who every year after the Project implementation </w:t>
            </w:r>
            <w:r w:rsidRPr="00545EA2">
              <w:rPr>
                <w:sz w:val="20"/>
                <w:lang w:val="en-GB"/>
              </w:rPr>
              <w:lastRenderedPageBreak/>
              <w:t xml:space="preserve">received services of a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 xml:space="preserve"> (at least 1 consultation) </w:t>
            </w:r>
          </w:p>
          <w:p w14:paraId="103523EC" w14:textId="77777777" w:rsidR="00545EA2" w:rsidRPr="00545EA2" w:rsidRDefault="00545EA2" w:rsidP="004A48A9">
            <w:pPr>
              <w:suppressAutoHyphens/>
              <w:textAlignment w:val="center"/>
              <w:rPr>
                <w:sz w:val="20"/>
                <w:lang w:val="en-GB"/>
              </w:rPr>
            </w:pPr>
          </w:p>
          <w:p w14:paraId="308C5DE2" w14:textId="38C7E0C2" w:rsidR="009F528E" w:rsidRPr="00545EA2" w:rsidRDefault="00542C44" w:rsidP="004A48A9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val="en-GB" w:eastAsia="lt-LT"/>
              </w:rPr>
            </w:pPr>
            <w:r w:rsidRPr="00545EA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38" w:type="pct"/>
          </w:tcPr>
          <w:p w14:paraId="13FA71F5" w14:textId="7588C1D8" w:rsidR="009F528E" w:rsidRPr="00545EA2" w:rsidRDefault="00545EA2" w:rsidP="000B1540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lastRenderedPageBreak/>
              <w:t>Number</w:t>
            </w:r>
          </w:p>
        </w:tc>
        <w:tc>
          <w:tcPr>
            <w:tcW w:w="585" w:type="pct"/>
          </w:tcPr>
          <w:p w14:paraId="65C1EBC2" w14:textId="225117F6" w:rsidR="00F10D47" w:rsidRPr="00545EA2" w:rsidRDefault="00545EA2" w:rsidP="000B1540">
            <w:pPr>
              <w:jc w:val="center"/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Entering </w:t>
            </w:r>
          </w:p>
          <w:p w14:paraId="09F28917" w14:textId="0062B4E2" w:rsidR="00F10D47" w:rsidRPr="00545EA2" w:rsidRDefault="00F10D47" w:rsidP="001F3CDE">
            <w:pPr>
              <w:rPr>
                <w:sz w:val="20"/>
                <w:lang w:val="en-GB"/>
              </w:rPr>
            </w:pPr>
          </w:p>
        </w:tc>
        <w:tc>
          <w:tcPr>
            <w:tcW w:w="488" w:type="pct"/>
          </w:tcPr>
          <w:p w14:paraId="0981B8B3" w14:textId="42DC77B1" w:rsidR="009F528E" w:rsidRPr="00545EA2" w:rsidRDefault="00545EA2" w:rsidP="00545EA2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Individuals from 18 years of age (inclusive) and above who applied and received </w:t>
            </w:r>
            <w:proofErr w:type="spellStart"/>
            <w:r w:rsidRPr="00545EA2">
              <w:rPr>
                <w:sz w:val="20"/>
                <w:lang w:val="en-GB"/>
              </w:rPr>
              <w:t>servises</w:t>
            </w:r>
            <w:proofErr w:type="spellEnd"/>
            <w:r w:rsidRPr="00545EA2">
              <w:rPr>
                <w:sz w:val="20"/>
                <w:lang w:val="en-GB"/>
              </w:rPr>
              <w:t xml:space="preserve"> of a Well-being </w:t>
            </w:r>
            <w:r w:rsidR="003041AD">
              <w:rPr>
                <w:sz w:val="20"/>
                <w:lang w:val="en-GB"/>
              </w:rPr>
              <w:lastRenderedPageBreak/>
              <w:t>Adviser</w:t>
            </w:r>
            <w:r w:rsidRPr="00545EA2">
              <w:rPr>
                <w:sz w:val="20"/>
                <w:lang w:val="en-GB"/>
              </w:rPr>
              <w:t xml:space="preserve"> (at least 1 consultation) every year after the Project implementation are summed up </w:t>
            </w:r>
          </w:p>
          <w:p w14:paraId="580BE3D0" w14:textId="77777777" w:rsidR="00545EA2" w:rsidRPr="00545EA2" w:rsidRDefault="00545EA2" w:rsidP="00545EA2">
            <w:pPr>
              <w:rPr>
                <w:sz w:val="20"/>
                <w:lang w:val="en-GB"/>
              </w:rPr>
            </w:pPr>
          </w:p>
          <w:p w14:paraId="3881FCF7" w14:textId="2D8177F2" w:rsidR="00545EA2" w:rsidRPr="00545EA2" w:rsidRDefault="00545EA2" w:rsidP="00545EA2">
            <w:pPr>
              <w:rPr>
                <w:sz w:val="20"/>
                <w:lang w:val="en-GB"/>
              </w:rPr>
            </w:pPr>
          </w:p>
        </w:tc>
        <w:tc>
          <w:tcPr>
            <w:tcW w:w="535" w:type="pct"/>
          </w:tcPr>
          <w:p w14:paraId="1CF5475D" w14:textId="77777777" w:rsidR="00545EA2" w:rsidRPr="00545EA2" w:rsidRDefault="00545EA2" w:rsidP="00545EA2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lastRenderedPageBreak/>
              <w:t xml:space="preserve">Sources – </w:t>
            </w:r>
          </w:p>
          <w:p w14:paraId="08BF7B74" w14:textId="5CF3617B" w:rsidR="00545EA2" w:rsidRPr="00545EA2" w:rsidRDefault="00545EA2" w:rsidP="00545EA2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t xml:space="preserve">summary reports on the services provided by Well-being </w:t>
            </w:r>
            <w:r w:rsidR="003041AD">
              <w:rPr>
                <w:sz w:val="20"/>
                <w:lang w:val="en-GB"/>
              </w:rPr>
              <w:t>Adviser</w:t>
            </w:r>
            <w:r w:rsidRPr="00545EA2">
              <w:rPr>
                <w:sz w:val="20"/>
                <w:lang w:val="en-GB"/>
              </w:rPr>
              <w:t xml:space="preserve">s submitted by </w:t>
            </w:r>
            <w:r w:rsidRPr="00545EA2">
              <w:rPr>
                <w:sz w:val="20"/>
                <w:lang w:val="en-GB"/>
              </w:rPr>
              <w:lastRenderedPageBreak/>
              <w:t xml:space="preserve">the Project promoter </w:t>
            </w:r>
          </w:p>
          <w:p w14:paraId="19B6E8BB" w14:textId="77777777" w:rsidR="00545EA2" w:rsidRPr="00545EA2" w:rsidRDefault="00545EA2" w:rsidP="00A5182E">
            <w:pPr>
              <w:rPr>
                <w:sz w:val="20"/>
                <w:lang w:val="en-GB"/>
              </w:rPr>
            </w:pPr>
          </w:p>
          <w:p w14:paraId="090F30C3" w14:textId="77777777" w:rsidR="009F528E" w:rsidRPr="00545EA2" w:rsidRDefault="009F528E" w:rsidP="00545EA2">
            <w:pPr>
              <w:rPr>
                <w:sz w:val="20"/>
                <w:lang w:val="en-GB"/>
              </w:rPr>
            </w:pPr>
          </w:p>
        </w:tc>
        <w:tc>
          <w:tcPr>
            <w:tcW w:w="439" w:type="pct"/>
          </w:tcPr>
          <w:p w14:paraId="3207B46C" w14:textId="4D88AA54" w:rsidR="00545EA2" w:rsidRPr="00545EA2" w:rsidRDefault="00545EA2" w:rsidP="00545EA2">
            <w:pPr>
              <w:ind w:right="-57"/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lastRenderedPageBreak/>
              <w:t xml:space="preserve">Data on the achievement of the indicator are collected at least once a year for a period of 5 years after </w:t>
            </w:r>
            <w:r w:rsidRPr="00545EA2">
              <w:rPr>
                <w:sz w:val="20"/>
                <w:lang w:val="en-GB"/>
              </w:rPr>
              <w:lastRenderedPageBreak/>
              <w:t>the end of the Project implementation</w:t>
            </w:r>
          </w:p>
          <w:p w14:paraId="17027AA4" w14:textId="77777777" w:rsidR="009F528E" w:rsidRPr="00545EA2" w:rsidRDefault="009F528E" w:rsidP="00545EA2">
            <w:pPr>
              <w:ind w:right="-193"/>
              <w:rPr>
                <w:sz w:val="20"/>
                <w:lang w:val="en-GB"/>
              </w:rPr>
            </w:pPr>
          </w:p>
        </w:tc>
        <w:tc>
          <w:tcPr>
            <w:tcW w:w="723" w:type="pct"/>
          </w:tcPr>
          <w:p w14:paraId="5527AA5D" w14:textId="392562CE" w:rsidR="009F528E" w:rsidRPr="00545EA2" w:rsidRDefault="009F528E" w:rsidP="000B1540">
            <w:pPr>
              <w:rPr>
                <w:sz w:val="20"/>
                <w:lang w:val="en-GB"/>
              </w:rPr>
            </w:pPr>
            <w:r w:rsidRPr="00545EA2">
              <w:rPr>
                <w:sz w:val="20"/>
                <w:lang w:val="en-GB"/>
              </w:rPr>
              <w:lastRenderedPageBreak/>
              <w:t>Proje</w:t>
            </w:r>
            <w:r w:rsidR="00545EA2" w:rsidRPr="00545EA2">
              <w:rPr>
                <w:sz w:val="20"/>
                <w:lang w:val="en-GB"/>
              </w:rPr>
              <w:t xml:space="preserve">ct promoter </w:t>
            </w:r>
          </w:p>
        </w:tc>
      </w:tr>
    </w:tbl>
    <w:p w14:paraId="19C6834F" w14:textId="77777777" w:rsidR="009F528E" w:rsidRPr="00545EA2" w:rsidRDefault="009F528E" w:rsidP="00384AE3">
      <w:pPr>
        <w:jc w:val="center"/>
        <w:rPr>
          <w:b/>
          <w:lang w:val="en-GB"/>
        </w:rPr>
      </w:pPr>
    </w:p>
    <w:sectPr w:rsidR="009F528E" w:rsidRPr="00545EA2" w:rsidSect="007F1F48">
      <w:footerReference w:type="default" r:id="rId11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3" w16cex:dateUtc="2021-03-25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35DB7C" w16cid:durableId="2406EF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3A93" w14:textId="77777777" w:rsidR="00DF1FE3" w:rsidRDefault="00DF1FE3" w:rsidP="007F1F48">
      <w:r>
        <w:separator/>
      </w:r>
    </w:p>
  </w:endnote>
  <w:endnote w:type="continuationSeparator" w:id="0">
    <w:p w14:paraId="07A92A5F" w14:textId="77777777" w:rsidR="00DF1FE3" w:rsidRDefault="00DF1FE3" w:rsidP="007F1F48">
      <w:r>
        <w:continuationSeparator/>
      </w:r>
    </w:p>
  </w:endnote>
  <w:endnote w:type="continuationNotice" w:id="1">
    <w:p w14:paraId="30BCAEEC" w14:textId="77777777" w:rsidR="00DF1FE3" w:rsidRDefault="00DF1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4D658B07" w:rsidR="007F1F48" w:rsidRDefault="007F1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F53689" w14:textId="77777777" w:rsidR="007F1F48" w:rsidRDefault="007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4DAE" w14:textId="77777777" w:rsidR="00DF1FE3" w:rsidRDefault="00DF1FE3" w:rsidP="007F1F48">
      <w:r>
        <w:separator/>
      </w:r>
    </w:p>
  </w:footnote>
  <w:footnote w:type="continuationSeparator" w:id="0">
    <w:p w14:paraId="171F927D" w14:textId="77777777" w:rsidR="00DF1FE3" w:rsidRDefault="00DF1FE3" w:rsidP="007F1F48">
      <w:r>
        <w:continuationSeparator/>
      </w:r>
    </w:p>
  </w:footnote>
  <w:footnote w:type="continuationNotice" w:id="1">
    <w:p w14:paraId="0516E76A" w14:textId="77777777" w:rsidR="00DF1FE3" w:rsidRDefault="00DF1FE3"/>
  </w:footnote>
  <w:footnote w:id="2">
    <w:p w14:paraId="40128D8C" w14:textId="0EEE67F9" w:rsidR="008151AE" w:rsidRPr="00F175E6" w:rsidRDefault="008151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target</w:t>
      </w:r>
      <w:proofErr w:type="spellEnd"/>
      <w:r w:rsidR="00545EA2" w:rsidRPr="00545EA2">
        <w:t xml:space="preserve"> </w:t>
      </w:r>
      <w:proofErr w:type="spellStart"/>
      <w:r w:rsidR="00545EA2" w:rsidRPr="00545EA2">
        <w:t>value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Programme</w:t>
      </w:r>
      <w:proofErr w:type="spellEnd"/>
      <w:r w:rsidR="00545EA2" w:rsidRPr="00545EA2">
        <w:t xml:space="preserve"> "</w:t>
      </w:r>
      <w:proofErr w:type="spellStart"/>
      <w:r w:rsidR="00545EA2" w:rsidRPr="00545EA2">
        <w:t>Health</w:t>
      </w:r>
      <w:proofErr w:type="spellEnd"/>
      <w:r w:rsidR="00545EA2" w:rsidRPr="00545EA2">
        <w:t xml:space="preserve">" to be </w:t>
      </w:r>
      <w:proofErr w:type="spellStart"/>
      <w:r w:rsidR="00545EA2" w:rsidRPr="00545EA2">
        <w:t>achieved</w:t>
      </w:r>
      <w:proofErr w:type="spellEnd"/>
      <w:r w:rsidR="00545EA2" w:rsidRPr="00545EA2">
        <w:t xml:space="preserve">, </w:t>
      </w:r>
      <w:proofErr w:type="spellStart"/>
      <w:r w:rsidR="00545EA2" w:rsidRPr="00545EA2">
        <w:t>which</w:t>
      </w:r>
      <w:proofErr w:type="spellEnd"/>
      <w:r w:rsidR="00545EA2" w:rsidRPr="00545EA2">
        <w:t xml:space="preserve"> </w:t>
      </w:r>
      <w:proofErr w:type="spellStart"/>
      <w:r w:rsidR="00545EA2" w:rsidRPr="00545EA2">
        <w:t>is</w:t>
      </w:r>
      <w:proofErr w:type="spellEnd"/>
      <w:r w:rsidR="00545EA2" w:rsidRPr="00545EA2">
        <w:t xml:space="preserve"> </w:t>
      </w:r>
      <w:proofErr w:type="spellStart"/>
      <w:r w:rsidR="00545EA2" w:rsidRPr="00545EA2">
        <w:t>specified</w:t>
      </w:r>
      <w:proofErr w:type="spellEnd"/>
      <w:r w:rsidR="00545EA2" w:rsidRPr="00545EA2">
        <w:t xml:space="preserve"> </w:t>
      </w:r>
      <w:proofErr w:type="spellStart"/>
      <w:r w:rsidR="00545EA2" w:rsidRPr="00545EA2">
        <w:t>in</w:t>
      </w:r>
      <w:proofErr w:type="spellEnd"/>
      <w:r w:rsidR="00545EA2" w:rsidRPr="00545EA2">
        <w:t xml:space="preserve"> </w:t>
      </w:r>
      <w:proofErr w:type="spellStart"/>
      <w:r w:rsidR="00545EA2" w:rsidRPr="00545EA2">
        <w:t>this</w:t>
      </w:r>
      <w:proofErr w:type="spellEnd"/>
      <w:r w:rsidR="00545EA2" w:rsidRPr="00545EA2">
        <w:t xml:space="preserve"> </w:t>
      </w:r>
      <w:proofErr w:type="spellStart"/>
      <w:r w:rsidR="00545EA2" w:rsidRPr="00545EA2">
        <w:t>indicator</w:t>
      </w:r>
      <w:proofErr w:type="spellEnd"/>
      <w:r w:rsidR="00545EA2" w:rsidRPr="00545EA2">
        <w:t xml:space="preserve">, also </w:t>
      </w:r>
      <w:proofErr w:type="spellStart"/>
      <w:r w:rsidR="00545EA2" w:rsidRPr="00545EA2">
        <w:t>includes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results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other</w:t>
      </w:r>
      <w:proofErr w:type="spellEnd"/>
      <w:r w:rsidR="00545EA2" w:rsidRPr="00545EA2">
        <w:t xml:space="preserve"> </w:t>
      </w:r>
      <w:proofErr w:type="spellStart"/>
      <w:r w:rsidR="00545EA2" w:rsidRPr="00545EA2">
        <w:t>measures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Programme</w:t>
      </w:r>
      <w:proofErr w:type="spellEnd"/>
      <w:r w:rsidR="00545EA2" w:rsidRPr="00545EA2">
        <w:t xml:space="preserve"> -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results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direct</w:t>
      </w:r>
      <w:proofErr w:type="spellEnd"/>
      <w:r w:rsidR="00545EA2" w:rsidRPr="00545EA2">
        <w:t xml:space="preserve"> </w:t>
      </w:r>
      <w:proofErr w:type="spellStart"/>
      <w:r w:rsidR="00545EA2" w:rsidRPr="00545EA2">
        <w:t>funding</w:t>
      </w:r>
      <w:proofErr w:type="spellEnd"/>
      <w:r w:rsidR="00545EA2" w:rsidRPr="00545EA2">
        <w:t xml:space="preserve"> </w:t>
      </w:r>
      <w:proofErr w:type="spellStart"/>
      <w:r w:rsidR="00545EA2" w:rsidRPr="00545EA2">
        <w:t>project</w:t>
      </w:r>
      <w:proofErr w:type="spellEnd"/>
      <w:r w:rsidR="00545EA2" w:rsidRPr="00545EA2">
        <w:t xml:space="preserve"> "</w:t>
      </w:r>
      <w:proofErr w:type="spellStart"/>
      <w:r w:rsidR="00545EA2" w:rsidRPr="00545EA2">
        <w:t>Multidimensional</w:t>
      </w:r>
      <w:proofErr w:type="spellEnd"/>
      <w:r w:rsidR="00545EA2" w:rsidRPr="00545EA2">
        <w:t xml:space="preserve"> </w:t>
      </w:r>
      <w:proofErr w:type="spellStart"/>
      <w:r w:rsidR="00545EA2" w:rsidRPr="00545EA2">
        <w:t>Approach</w:t>
      </w:r>
      <w:proofErr w:type="spellEnd"/>
      <w:r w:rsidR="00545EA2" w:rsidRPr="00545EA2">
        <w:t xml:space="preserve"> to </w:t>
      </w:r>
      <w:proofErr w:type="spellStart"/>
      <w:r w:rsidR="00545EA2" w:rsidRPr="00545EA2">
        <w:t>Children</w:t>
      </w:r>
      <w:proofErr w:type="spellEnd"/>
      <w:r w:rsidR="00545EA2" w:rsidRPr="00545EA2">
        <w:t xml:space="preserve"> </w:t>
      </w:r>
      <w:proofErr w:type="spellStart"/>
      <w:r w:rsidR="00545EA2" w:rsidRPr="00545EA2">
        <w:t>and</w:t>
      </w:r>
      <w:proofErr w:type="spellEnd"/>
      <w:r w:rsidR="00545EA2" w:rsidRPr="00545EA2">
        <w:t xml:space="preserve"> </w:t>
      </w:r>
      <w:proofErr w:type="spellStart"/>
      <w:r w:rsidR="00545EA2" w:rsidRPr="00545EA2">
        <w:t>Youth</w:t>
      </w:r>
      <w:proofErr w:type="spellEnd"/>
      <w:r w:rsidR="00545EA2" w:rsidRPr="00545EA2">
        <w:t xml:space="preserve"> </w:t>
      </w:r>
      <w:proofErr w:type="spellStart"/>
      <w:r w:rsidR="00545EA2" w:rsidRPr="00545EA2">
        <w:t>Behavioural</w:t>
      </w:r>
      <w:proofErr w:type="spellEnd"/>
      <w:r w:rsidR="00545EA2" w:rsidRPr="00545EA2">
        <w:t xml:space="preserve"> </w:t>
      </w:r>
      <w:proofErr w:type="spellStart"/>
      <w:r w:rsidR="00545EA2" w:rsidRPr="00545EA2">
        <w:t>Problems</w:t>
      </w:r>
      <w:proofErr w:type="spellEnd"/>
      <w:r w:rsidR="00545EA2" w:rsidRPr="00545EA2">
        <w:t xml:space="preserve"> </w:t>
      </w:r>
      <w:proofErr w:type="spellStart"/>
      <w:r w:rsidR="00545EA2" w:rsidRPr="00545EA2">
        <w:t>through</w:t>
      </w:r>
      <w:proofErr w:type="spellEnd"/>
      <w:r w:rsidR="00545EA2" w:rsidRPr="00545EA2">
        <w:t xml:space="preserve"> </w:t>
      </w:r>
      <w:proofErr w:type="spellStart"/>
      <w:r w:rsidR="00545EA2" w:rsidRPr="00545EA2">
        <w:t>Implementation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MDFT </w:t>
      </w:r>
      <w:proofErr w:type="spellStart"/>
      <w:r w:rsidR="00545EA2" w:rsidRPr="00545EA2">
        <w:t>Programme</w:t>
      </w:r>
      <w:proofErr w:type="spellEnd"/>
      <w:r w:rsidR="00545EA2" w:rsidRPr="00545EA2">
        <w:t xml:space="preserve">"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call</w:t>
      </w:r>
      <w:proofErr w:type="spellEnd"/>
      <w:r w:rsidR="00545EA2" w:rsidRPr="00545EA2">
        <w:t xml:space="preserve"> "One-stop </w:t>
      </w:r>
      <w:proofErr w:type="spellStart"/>
      <w:r w:rsidR="00545EA2" w:rsidRPr="00545EA2">
        <w:t>centres</w:t>
      </w:r>
      <w:proofErr w:type="spellEnd"/>
      <w:r w:rsidR="00545EA2" w:rsidRPr="00545EA2">
        <w:t xml:space="preserve"> </w:t>
      </w:r>
      <w:proofErr w:type="spellStart"/>
      <w:r w:rsidR="00545EA2" w:rsidRPr="00545EA2">
        <w:t>for</w:t>
      </w:r>
      <w:proofErr w:type="spellEnd"/>
      <w:r w:rsidR="00545EA2" w:rsidRPr="00545EA2">
        <w:t xml:space="preserve"> </w:t>
      </w:r>
      <w:proofErr w:type="spellStart"/>
      <w:r w:rsidR="00545EA2" w:rsidRPr="00545EA2">
        <w:t>children</w:t>
      </w:r>
      <w:proofErr w:type="spellEnd"/>
      <w:r w:rsidR="00545EA2" w:rsidRPr="00545EA2">
        <w:t xml:space="preserve"> </w:t>
      </w:r>
      <w:proofErr w:type="spellStart"/>
      <w:r w:rsidR="00545EA2" w:rsidRPr="00545EA2">
        <w:t>and</w:t>
      </w:r>
      <w:proofErr w:type="spellEnd"/>
      <w:r w:rsidR="00545EA2" w:rsidRPr="00545EA2">
        <w:t xml:space="preserve"> </w:t>
      </w:r>
      <w:proofErr w:type="spellStart"/>
      <w:r w:rsidR="00545EA2" w:rsidRPr="00545EA2">
        <w:t>families</w:t>
      </w:r>
      <w:proofErr w:type="spellEnd"/>
      <w:r w:rsidR="00545EA2" w:rsidRPr="00545EA2">
        <w:t xml:space="preserve">".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target</w:t>
      </w:r>
      <w:proofErr w:type="spellEnd"/>
      <w:r w:rsidR="00545EA2" w:rsidRPr="00545EA2">
        <w:t xml:space="preserve"> </w:t>
      </w:r>
      <w:proofErr w:type="spellStart"/>
      <w:r w:rsidR="00545EA2" w:rsidRPr="00545EA2">
        <w:t>value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B33B99">
        <w:t>output</w:t>
      </w:r>
      <w:proofErr w:type="spellEnd"/>
      <w:r w:rsidR="00545EA2" w:rsidRPr="00545EA2">
        <w:t xml:space="preserve"> </w:t>
      </w:r>
      <w:proofErr w:type="spellStart"/>
      <w:r w:rsidR="00545EA2" w:rsidRPr="00545EA2">
        <w:t>indicator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measure</w:t>
      </w:r>
      <w:proofErr w:type="spellEnd"/>
      <w:r w:rsidR="00545EA2" w:rsidRPr="00545EA2">
        <w:t xml:space="preserve"> </w:t>
      </w:r>
      <w:proofErr w:type="spellStart"/>
      <w:r w:rsidR="00545EA2" w:rsidRPr="00545EA2">
        <w:t>and</w:t>
      </w:r>
      <w:proofErr w:type="spellEnd"/>
      <w:r w:rsidR="00545EA2" w:rsidRPr="00545EA2">
        <w:t xml:space="preserve"> </w:t>
      </w:r>
      <w:proofErr w:type="spellStart"/>
      <w:r w:rsidR="00545EA2" w:rsidRPr="00545EA2">
        <w:t>call</w:t>
      </w:r>
      <w:proofErr w:type="spellEnd"/>
      <w:r w:rsidR="00545EA2" w:rsidRPr="00545EA2">
        <w:t xml:space="preserve"> "</w:t>
      </w:r>
      <w:proofErr w:type="spellStart"/>
      <w:r w:rsidR="00545EA2" w:rsidRPr="00545EA2">
        <w:t>Implementation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Model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Well-being</w:t>
      </w:r>
      <w:proofErr w:type="spellEnd"/>
      <w:r w:rsidR="00545EA2" w:rsidRPr="00545EA2">
        <w:t xml:space="preserve"> </w:t>
      </w:r>
      <w:proofErr w:type="spellStart"/>
      <w:r w:rsidR="003041AD">
        <w:t>Adviser</w:t>
      </w:r>
      <w:r w:rsidR="00545EA2" w:rsidRPr="00545EA2">
        <w:t>s</w:t>
      </w:r>
      <w:proofErr w:type="spellEnd"/>
      <w:r w:rsidR="00545EA2" w:rsidRPr="00545EA2">
        <w:t xml:space="preserve">" - 9,300 </w:t>
      </w:r>
      <w:proofErr w:type="spellStart"/>
      <w:r w:rsidR="00545EA2" w:rsidRPr="00545EA2">
        <w:t>individuals</w:t>
      </w:r>
      <w:proofErr w:type="spellEnd"/>
      <w:r w:rsidR="00545EA2" w:rsidRPr="00545EA2">
        <w:t xml:space="preserve"> </w:t>
      </w:r>
      <w:proofErr w:type="spellStart"/>
      <w:r w:rsidR="00545EA2" w:rsidRPr="00545EA2">
        <w:t>who</w:t>
      </w:r>
      <w:proofErr w:type="spellEnd"/>
      <w:r w:rsidR="00545EA2" w:rsidRPr="00545EA2">
        <w:t xml:space="preserve"> </w:t>
      </w:r>
      <w:proofErr w:type="spellStart"/>
      <w:r w:rsidR="00545EA2" w:rsidRPr="00545EA2">
        <w:t>were</w:t>
      </w:r>
      <w:proofErr w:type="spellEnd"/>
      <w:r w:rsidR="003041AD">
        <w:t xml:space="preserve"> </w:t>
      </w:r>
      <w:proofErr w:type="spellStart"/>
      <w:r w:rsidR="003041AD">
        <w:t>provided</w:t>
      </w:r>
      <w:proofErr w:type="spellEnd"/>
      <w:r w:rsidR="003041AD">
        <w:t xml:space="preserve"> </w:t>
      </w:r>
      <w:proofErr w:type="spellStart"/>
      <w:r w:rsidR="003041AD">
        <w:t>with</w:t>
      </w:r>
      <w:proofErr w:type="spellEnd"/>
      <w:r w:rsidR="003041AD">
        <w:t xml:space="preserve"> </w:t>
      </w:r>
      <w:proofErr w:type="spellStart"/>
      <w:r w:rsidR="003041AD">
        <w:t>the</w:t>
      </w:r>
      <w:proofErr w:type="spellEnd"/>
      <w:r w:rsidR="003041AD">
        <w:t xml:space="preserve"> </w:t>
      </w:r>
      <w:proofErr w:type="spellStart"/>
      <w:r w:rsidR="003041AD">
        <w:t>services</w:t>
      </w:r>
      <w:proofErr w:type="spellEnd"/>
      <w:r w:rsidR="003041AD">
        <w:t xml:space="preserve"> </w:t>
      </w:r>
      <w:proofErr w:type="spellStart"/>
      <w:r w:rsidR="003041AD">
        <w:t>of</w:t>
      </w:r>
      <w:proofErr w:type="spellEnd"/>
      <w:r w:rsidR="003041AD">
        <w:t xml:space="preserve"> </w:t>
      </w:r>
      <w:proofErr w:type="spellStart"/>
      <w:r w:rsidR="003041AD">
        <w:t>W</w:t>
      </w:r>
      <w:r w:rsidR="00545EA2" w:rsidRPr="00545EA2">
        <w:t>ell-being</w:t>
      </w:r>
      <w:proofErr w:type="spellEnd"/>
      <w:r w:rsidR="00545EA2" w:rsidRPr="00545EA2">
        <w:t xml:space="preserve"> </w:t>
      </w:r>
      <w:proofErr w:type="spellStart"/>
      <w:r w:rsidR="003041AD">
        <w:t>Adviser</w:t>
      </w:r>
      <w:r w:rsidR="00545EA2" w:rsidRPr="00545EA2">
        <w:t>s</w:t>
      </w:r>
      <w:proofErr w:type="spellEnd"/>
      <w:r w:rsidR="00545EA2" w:rsidRPr="00545EA2">
        <w:t>.</w:t>
      </w:r>
    </w:p>
  </w:footnote>
  <w:footnote w:id="3">
    <w:p w14:paraId="05BA3C28" w14:textId="79FEA1E5" w:rsidR="009D1BA4" w:rsidRDefault="009D1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total</w:t>
      </w:r>
      <w:proofErr w:type="spellEnd"/>
      <w:r w:rsidR="00545EA2" w:rsidRPr="00545EA2">
        <w:t xml:space="preserve"> </w:t>
      </w:r>
      <w:proofErr w:type="spellStart"/>
      <w:r w:rsidR="00545EA2" w:rsidRPr="00545EA2">
        <w:t>target</w:t>
      </w:r>
      <w:proofErr w:type="spellEnd"/>
      <w:r w:rsidR="00545EA2" w:rsidRPr="00545EA2">
        <w:t xml:space="preserve"> </w:t>
      </w:r>
      <w:proofErr w:type="spellStart"/>
      <w:r w:rsidR="00545EA2" w:rsidRPr="00545EA2">
        <w:t>number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call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individuals</w:t>
      </w:r>
      <w:proofErr w:type="spellEnd"/>
      <w:r w:rsidR="00545EA2" w:rsidRPr="00545EA2">
        <w:t xml:space="preserve"> </w:t>
      </w:r>
      <w:proofErr w:type="spellStart"/>
      <w:r w:rsidR="00545EA2" w:rsidRPr="00545EA2">
        <w:t>who</w:t>
      </w:r>
      <w:proofErr w:type="spellEnd"/>
      <w:r w:rsidR="00545EA2" w:rsidRPr="00545EA2">
        <w:t xml:space="preserve"> </w:t>
      </w:r>
      <w:proofErr w:type="spellStart"/>
      <w:r w:rsidR="00545EA2" w:rsidRPr="00545EA2">
        <w:t>have</w:t>
      </w:r>
      <w:proofErr w:type="spellEnd"/>
      <w:r w:rsidR="00545EA2" w:rsidRPr="00545EA2">
        <w:t xml:space="preserve"> </w:t>
      </w:r>
      <w:proofErr w:type="spellStart"/>
      <w:r w:rsidR="00545EA2" w:rsidRPr="00545EA2">
        <w:t>received</w:t>
      </w:r>
      <w:proofErr w:type="spellEnd"/>
      <w:r w:rsidR="00545EA2" w:rsidRPr="00545EA2">
        <w:t xml:space="preserve"> </w:t>
      </w:r>
      <w:proofErr w:type="spellStart"/>
      <w:r w:rsidR="00545EA2" w:rsidRPr="00545EA2">
        <w:t>the</w:t>
      </w:r>
      <w:proofErr w:type="spellEnd"/>
      <w:r w:rsidR="00545EA2" w:rsidRPr="00545EA2">
        <w:t xml:space="preserve"> </w:t>
      </w:r>
      <w:proofErr w:type="spellStart"/>
      <w:r w:rsidR="00545EA2" w:rsidRPr="00545EA2">
        <w:t>services</w:t>
      </w:r>
      <w:proofErr w:type="spellEnd"/>
      <w:r w:rsidR="00545EA2" w:rsidRPr="00545EA2">
        <w:t xml:space="preserve"> </w:t>
      </w:r>
      <w:proofErr w:type="spellStart"/>
      <w:r w:rsidR="00545EA2" w:rsidRPr="00545EA2">
        <w:t>of</w:t>
      </w:r>
      <w:proofErr w:type="spellEnd"/>
      <w:r w:rsidR="00545EA2" w:rsidRPr="00545EA2">
        <w:t xml:space="preserve"> </w:t>
      </w:r>
      <w:proofErr w:type="spellStart"/>
      <w:r w:rsidR="00545EA2" w:rsidRPr="00545EA2">
        <w:t>Well-being</w:t>
      </w:r>
      <w:proofErr w:type="spellEnd"/>
      <w:r w:rsidR="00545EA2" w:rsidRPr="00545EA2">
        <w:t xml:space="preserve"> </w:t>
      </w:r>
      <w:proofErr w:type="spellStart"/>
      <w:r w:rsidR="003041AD">
        <w:t>Adviser</w:t>
      </w:r>
      <w:r w:rsidR="00545EA2" w:rsidRPr="00545EA2">
        <w:t>s</w:t>
      </w:r>
      <w:proofErr w:type="spellEnd"/>
      <w:r w:rsidR="00545EA2" w:rsidRPr="00545EA2">
        <w:t xml:space="preserve"> </w:t>
      </w:r>
      <w:r>
        <w:t>– 9</w:t>
      </w:r>
      <w:r w:rsidR="00545EA2">
        <w:t>,</w:t>
      </w:r>
      <w:r>
        <w:rPr>
          <w:lang w:val="en-US"/>
        </w:rPr>
        <w:t>300</w:t>
      </w:r>
      <w:r>
        <w:t xml:space="preserve"> </w:t>
      </w:r>
      <w:proofErr w:type="spellStart"/>
      <w:r w:rsidR="00545EA2">
        <w:t>individuals</w:t>
      </w:r>
      <w:proofErr w:type="spellEnd"/>
      <w:r w:rsidR="00545EA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050"/>
    <w:multiLevelType w:val="multilevel"/>
    <w:tmpl w:val="7F401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02E2A"/>
    <w:rsid w:val="00005843"/>
    <w:rsid w:val="00017FF4"/>
    <w:rsid w:val="000316A9"/>
    <w:rsid w:val="00032B1B"/>
    <w:rsid w:val="000345A1"/>
    <w:rsid w:val="000413A7"/>
    <w:rsid w:val="00060BC9"/>
    <w:rsid w:val="00063180"/>
    <w:rsid w:val="00086C36"/>
    <w:rsid w:val="00094805"/>
    <w:rsid w:val="00096B60"/>
    <w:rsid w:val="000A38AD"/>
    <w:rsid w:val="000A4536"/>
    <w:rsid w:val="000A60CE"/>
    <w:rsid w:val="000B42D5"/>
    <w:rsid w:val="000B5C0A"/>
    <w:rsid w:val="000C1E61"/>
    <w:rsid w:val="000C693F"/>
    <w:rsid w:val="000C703F"/>
    <w:rsid w:val="000D0418"/>
    <w:rsid w:val="000D7168"/>
    <w:rsid w:val="000F0B6E"/>
    <w:rsid w:val="00105DE5"/>
    <w:rsid w:val="0011380E"/>
    <w:rsid w:val="001139E1"/>
    <w:rsid w:val="00123450"/>
    <w:rsid w:val="001370E3"/>
    <w:rsid w:val="00143E2F"/>
    <w:rsid w:val="001460FA"/>
    <w:rsid w:val="001470F8"/>
    <w:rsid w:val="00147CC7"/>
    <w:rsid w:val="00156ADA"/>
    <w:rsid w:val="00166B1B"/>
    <w:rsid w:val="001773B2"/>
    <w:rsid w:val="00190597"/>
    <w:rsid w:val="00194C63"/>
    <w:rsid w:val="001A1BC1"/>
    <w:rsid w:val="001B2633"/>
    <w:rsid w:val="001D03C2"/>
    <w:rsid w:val="001E3941"/>
    <w:rsid w:val="001E7B8A"/>
    <w:rsid w:val="001F3CDE"/>
    <w:rsid w:val="002056E6"/>
    <w:rsid w:val="002070B2"/>
    <w:rsid w:val="00223561"/>
    <w:rsid w:val="00223EA6"/>
    <w:rsid w:val="0026257D"/>
    <w:rsid w:val="002748C7"/>
    <w:rsid w:val="00276357"/>
    <w:rsid w:val="0028209A"/>
    <w:rsid w:val="0029325A"/>
    <w:rsid w:val="00293AC5"/>
    <w:rsid w:val="0029498B"/>
    <w:rsid w:val="002C470E"/>
    <w:rsid w:val="002D2F60"/>
    <w:rsid w:val="003041AD"/>
    <w:rsid w:val="003210A2"/>
    <w:rsid w:val="003211ED"/>
    <w:rsid w:val="00327305"/>
    <w:rsid w:val="00327F8C"/>
    <w:rsid w:val="00346D7D"/>
    <w:rsid w:val="00353EE3"/>
    <w:rsid w:val="00361747"/>
    <w:rsid w:val="00362CE0"/>
    <w:rsid w:val="0038416F"/>
    <w:rsid w:val="00384AE3"/>
    <w:rsid w:val="00395448"/>
    <w:rsid w:val="003A6429"/>
    <w:rsid w:val="003A7E2E"/>
    <w:rsid w:val="003C437D"/>
    <w:rsid w:val="003D3987"/>
    <w:rsid w:val="003F2AB2"/>
    <w:rsid w:val="0040237A"/>
    <w:rsid w:val="004040F5"/>
    <w:rsid w:val="00407B4A"/>
    <w:rsid w:val="00416AFF"/>
    <w:rsid w:val="00423485"/>
    <w:rsid w:val="00434A45"/>
    <w:rsid w:val="00452F91"/>
    <w:rsid w:val="00460026"/>
    <w:rsid w:val="00460336"/>
    <w:rsid w:val="00461208"/>
    <w:rsid w:val="00463F67"/>
    <w:rsid w:val="00485C52"/>
    <w:rsid w:val="0049052F"/>
    <w:rsid w:val="00494CB3"/>
    <w:rsid w:val="004A48A9"/>
    <w:rsid w:val="004A4C65"/>
    <w:rsid w:val="004B3FA5"/>
    <w:rsid w:val="004B5C82"/>
    <w:rsid w:val="004C6241"/>
    <w:rsid w:val="004D5B71"/>
    <w:rsid w:val="004E09F2"/>
    <w:rsid w:val="004E164A"/>
    <w:rsid w:val="004F071E"/>
    <w:rsid w:val="004F1FF0"/>
    <w:rsid w:val="004F4D73"/>
    <w:rsid w:val="004F5238"/>
    <w:rsid w:val="005107A2"/>
    <w:rsid w:val="00510F29"/>
    <w:rsid w:val="005137C6"/>
    <w:rsid w:val="0052052D"/>
    <w:rsid w:val="00520A64"/>
    <w:rsid w:val="00520F33"/>
    <w:rsid w:val="00534D4F"/>
    <w:rsid w:val="00542C44"/>
    <w:rsid w:val="00545EA2"/>
    <w:rsid w:val="00546ADB"/>
    <w:rsid w:val="00554406"/>
    <w:rsid w:val="005603BC"/>
    <w:rsid w:val="00570143"/>
    <w:rsid w:val="00573D15"/>
    <w:rsid w:val="005754FB"/>
    <w:rsid w:val="00581E5A"/>
    <w:rsid w:val="00590CDB"/>
    <w:rsid w:val="00592B10"/>
    <w:rsid w:val="005A2AA8"/>
    <w:rsid w:val="005A5272"/>
    <w:rsid w:val="005A5DF2"/>
    <w:rsid w:val="005A6329"/>
    <w:rsid w:val="005B5789"/>
    <w:rsid w:val="005B69A3"/>
    <w:rsid w:val="005C4D67"/>
    <w:rsid w:val="005D12DF"/>
    <w:rsid w:val="005E0C98"/>
    <w:rsid w:val="005E414D"/>
    <w:rsid w:val="005E5A2A"/>
    <w:rsid w:val="005F1FC2"/>
    <w:rsid w:val="005F3EEA"/>
    <w:rsid w:val="00600A6D"/>
    <w:rsid w:val="00600B4E"/>
    <w:rsid w:val="00604560"/>
    <w:rsid w:val="00613CE1"/>
    <w:rsid w:val="00615A93"/>
    <w:rsid w:val="00630988"/>
    <w:rsid w:val="0065483E"/>
    <w:rsid w:val="006635E7"/>
    <w:rsid w:val="00665366"/>
    <w:rsid w:val="00673B3A"/>
    <w:rsid w:val="00684498"/>
    <w:rsid w:val="006863C3"/>
    <w:rsid w:val="006A7CD8"/>
    <w:rsid w:val="006B1D9F"/>
    <w:rsid w:val="006B3D9A"/>
    <w:rsid w:val="006B5E5C"/>
    <w:rsid w:val="006C20AB"/>
    <w:rsid w:val="006C2F0B"/>
    <w:rsid w:val="006C7A2E"/>
    <w:rsid w:val="006D4040"/>
    <w:rsid w:val="006D450D"/>
    <w:rsid w:val="006E030D"/>
    <w:rsid w:val="006E26D4"/>
    <w:rsid w:val="006E2CF9"/>
    <w:rsid w:val="006E4549"/>
    <w:rsid w:val="006F1403"/>
    <w:rsid w:val="006F7AE9"/>
    <w:rsid w:val="007062F3"/>
    <w:rsid w:val="00721EB4"/>
    <w:rsid w:val="00723F25"/>
    <w:rsid w:val="007254DE"/>
    <w:rsid w:val="00746DA2"/>
    <w:rsid w:val="007473F7"/>
    <w:rsid w:val="0075268C"/>
    <w:rsid w:val="007529E8"/>
    <w:rsid w:val="00757A94"/>
    <w:rsid w:val="00766BFD"/>
    <w:rsid w:val="00780220"/>
    <w:rsid w:val="00795F25"/>
    <w:rsid w:val="007A27DE"/>
    <w:rsid w:val="007B5FB7"/>
    <w:rsid w:val="007B73FE"/>
    <w:rsid w:val="007F1F48"/>
    <w:rsid w:val="007F29A8"/>
    <w:rsid w:val="00804F29"/>
    <w:rsid w:val="00806E6D"/>
    <w:rsid w:val="0080732D"/>
    <w:rsid w:val="008151AE"/>
    <w:rsid w:val="00817788"/>
    <w:rsid w:val="008238AC"/>
    <w:rsid w:val="0083229A"/>
    <w:rsid w:val="00834390"/>
    <w:rsid w:val="0083789E"/>
    <w:rsid w:val="00844304"/>
    <w:rsid w:val="00867730"/>
    <w:rsid w:val="00876D94"/>
    <w:rsid w:val="00880A7B"/>
    <w:rsid w:val="0089443E"/>
    <w:rsid w:val="00894673"/>
    <w:rsid w:val="00895846"/>
    <w:rsid w:val="00896937"/>
    <w:rsid w:val="008B09B7"/>
    <w:rsid w:val="008C3514"/>
    <w:rsid w:val="008C6AC2"/>
    <w:rsid w:val="008D5D4F"/>
    <w:rsid w:val="008E4C36"/>
    <w:rsid w:val="008E7CFB"/>
    <w:rsid w:val="009103C4"/>
    <w:rsid w:val="00914345"/>
    <w:rsid w:val="009321A8"/>
    <w:rsid w:val="00942BD0"/>
    <w:rsid w:val="00945E4F"/>
    <w:rsid w:val="009465C7"/>
    <w:rsid w:val="0096278C"/>
    <w:rsid w:val="009703C8"/>
    <w:rsid w:val="0097611F"/>
    <w:rsid w:val="009768EC"/>
    <w:rsid w:val="00980DB8"/>
    <w:rsid w:val="0098379B"/>
    <w:rsid w:val="0098402B"/>
    <w:rsid w:val="0099757B"/>
    <w:rsid w:val="009A2561"/>
    <w:rsid w:val="009A7414"/>
    <w:rsid w:val="009C0193"/>
    <w:rsid w:val="009C2CF5"/>
    <w:rsid w:val="009C4E15"/>
    <w:rsid w:val="009D02A0"/>
    <w:rsid w:val="009D1BA4"/>
    <w:rsid w:val="009D50F9"/>
    <w:rsid w:val="009D6E99"/>
    <w:rsid w:val="009F528E"/>
    <w:rsid w:val="00A03A64"/>
    <w:rsid w:val="00A03B65"/>
    <w:rsid w:val="00A11B60"/>
    <w:rsid w:val="00A25D11"/>
    <w:rsid w:val="00A330EA"/>
    <w:rsid w:val="00A33886"/>
    <w:rsid w:val="00A40726"/>
    <w:rsid w:val="00A40DB2"/>
    <w:rsid w:val="00A50EBF"/>
    <w:rsid w:val="00A5182E"/>
    <w:rsid w:val="00A63BF9"/>
    <w:rsid w:val="00A679DA"/>
    <w:rsid w:val="00A74898"/>
    <w:rsid w:val="00A85BF8"/>
    <w:rsid w:val="00A86AE8"/>
    <w:rsid w:val="00A94A71"/>
    <w:rsid w:val="00A974BC"/>
    <w:rsid w:val="00AB04F7"/>
    <w:rsid w:val="00AB07A0"/>
    <w:rsid w:val="00AC0D6A"/>
    <w:rsid w:val="00AC0E16"/>
    <w:rsid w:val="00AD23C5"/>
    <w:rsid w:val="00AE5D82"/>
    <w:rsid w:val="00B0468A"/>
    <w:rsid w:val="00B054F4"/>
    <w:rsid w:val="00B11BC4"/>
    <w:rsid w:val="00B2249A"/>
    <w:rsid w:val="00B249BB"/>
    <w:rsid w:val="00B320B6"/>
    <w:rsid w:val="00B33215"/>
    <w:rsid w:val="00B33B99"/>
    <w:rsid w:val="00B34B41"/>
    <w:rsid w:val="00B371C1"/>
    <w:rsid w:val="00B43892"/>
    <w:rsid w:val="00B4665E"/>
    <w:rsid w:val="00B46E1A"/>
    <w:rsid w:val="00B526CB"/>
    <w:rsid w:val="00B727B4"/>
    <w:rsid w:val="00B75706"/>
    <w:rsid w:val="00B75D0C"/>
    <w:rsid w:val="00B91168"/>
    <w:rsid w:val="00B96C9F"/>
    <w:rsid w:val="00BB3C99"/>
    <w:rsid w:val="00BC0A80"/>
    <w:rsid w:val="00BC24C3"/>
    <w:rsid w:val="00BC41E5"/>
    <w:rsid w:val="00BD6E5A"/>
    <w:rsid w:val="00BE2D87"/>
    <w:rsid w:val="00C00B6A"/>
    <w:rsid w:val="00C1680B"/>
    <w:rsid w:val="00C20121"/>
    <w:rsid w:val="00C23BED"/>
    <w:rsid w:val="00C263E1"/>
    <w:rsid w:val="00C35427"/>
    <w:rsid w:val="00C43E2A"/>
    <w:rsid w:val="00C52D73"/>
    <w:rsid w:val="00C5482D"/>
    <w:rsid w:val="00C70D01"/>
    <w:rsid w:val="00C818E1"/>
    <w:rsid w:val="00C84C0E"/>
    <w:rsid w:val="00C946E1"/>
    <w:rsid w:val="00C96FAE"/>
    <w:rsid w:val="00CA31F5"/>
    <w:rsid w:val="00CD3841"/>
    <w:rsid w:val="00CE5565"/>
    <w:rsid w:val="00CF30A9"/>
    <w:rsid w:val="00D15031"/>
    <w:rsid w:val="00D2130D"/>
    <w:rsid w:val="00D3234F"/>
    <w:rsid w:val="00D448FB"/>
    <w:rsid w:val="00D44CDD"/>
    <w:rsid w:val="00D45C48"/>
    <w:rsid w:val="00D5703D"/>
    <w:rsid w:val="00D5753E"/>
    <w:rsid w:val="00D60D02"/>
    <w:rsid w:val="00D61F05"/>
    <w:rsid w:val="00D77C97"/>
    <w:rsid w:val="00D834DD"/>
    <w:rsid w:val="00D92363"/>
    <w:rsid w:val="00DA20FA"/>
    <w:rsid w:val="00DA299F"/>
    <w:rsid w:val="00DA5479"/>
    <w:rsid w:val="00DA6641"/>
    <w:rsid w:val="00DA6A33"/>
    <w:rsid w:val="00DE1F66"/>
    <w:rsid w:val="00DE1FBB"/>
    <w:rsid w:val="00DE7B40"/>
    <w:rsid w:val="00DE7BE5"/>
    <w:rsid w:val="00DF1AAD"/>
    <w:rsid w:val="00DF1FE3"/>
    <w:rsid w:val="00DF4E58"/>
    <w:rsid w:val="00E03ECD"/>
    <w:rsid w:val="00E05D44"/>
    <w:rsid w:val="00E2002E"/>
    <w:rsid w:val="00E36978"/>
    <w:rsid w:val="00E36A5A"/>
    <w:rsid w:val="00E37D71"/>
    <w:rsid w:val="00E43EF6"/>
    <w:rsid w:val="00E5310F"/>
    <w:rsid w:val="00E57563"/>
    <w:rsid w:val="00E62CF0"/>
    <w:rsid w:val="00E661F4"/>
    <w:rsid w:val="00E80186"/>
    <w:rsid w:val="00E940F7"/>
    <w:rsid w:val="00EA3895"/>
    <w:rsid w:val="00EB3E0D"/>
    <w:rsid w:val="00EF0440"/>
    <w:rsid w:val="00EF1171"/>
    <w:rsid w:val="00EF2CF3"/>
    <w:rsid w:val="00F0005B"/>
    <w:rsid w:val="00F00698"/>
    <w:rsid w:val="00F10D47"/>
    <w:rsid w:val="00F131F6"/>
    <w:rsid w:val="00F13B4F"/>
    <w:rsid w:val="00F175E6"/>
    <w:rsid w:val="00F276A2"/>
    <w:rsid w:val="00F433BE"/>
    <w:rsid w:val="00F4649E"/>
    <w:rsid w:val="00F5006C"/>
    <w:rsid w:val="00F77F0A"/>
    <w:rsid w:val="00F80884"/>
    <w:rsid w:val="00F8124F"/>
    <w:rsid w:val="00F8537E"/>
    <w:rsid w:val="00F859CB"/>
    <w:rsid w:val="00F85A25"/>
    <w:rsid w:val="00F925E7"/>
    <w:rsid w:val="00FA1D23"/>
    <w:rsid w:val="00FA30D0"/>
    <w:rsid w:val="00FA4AEB"/>
    <w:rsid w:val="00FA6920"/>
    <w:rsid w:val="00FC0C7C"/>
    <w:rsid w:val="00FC30C0"/>
    <w:rsid w:val="00FC5EDB"/>
    <w:rsid w:val="00FC6A0A"/>
    <w:rsid w:val="00FD1CEC"/>
    <w:rsid w:val="00FD47BD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57F7A"/>
  <w15:docId w15:val="{3CA4D613-FC2D-476F-A78E-A663938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1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1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CD0A7B7E20643B47EF46ED85C1A31" ma:contentTypeVersion="18" ma:contentTypeDescription="Create a new document." ma:contentTypeScope="" ma:versionID="2d7bb8682d7aa759c29153d99772c846">
  <xsd:schema xmlns:xsd="http://www.w3.org/2001/XMLSchema" xmlns:xs="http://www.w3.org/2001/XMLSchema" xmlns:p="http://schemas.microsoft.com/office/2006/metadata/properties" xmlns:ns2="6a938c8e-ef85-4a6d-9165-d2703feb687c" xmlns:ns3="beec3a80-d048-4266-aa12-24f4844a1e70" targetNamespace="http://schemas.microsoft.com/office/2006/metadata/properties" ma:root="true" ma:fieldsID="8367c40648be7e0cbbacb3559965406f" ns2:_="" ns3:_="">
    <xsd:import namespace="6a938c8e-ef85-4a6d-9165-d2703feb687c"/>
    <xsd:import namespace="beec3a80-d048-4266-aa12-24f4844a1e70"/>
    <xsd:element name="properties">
      <xsd:complexType>
        <xsd:sequence>
          <xsd:element name="documentManagement">
            <xsd:complexType>
              <xsd:all>
                <xsd:element ref="ns2:ProgrammeManager" minOccurs="0"/>
                <xsd:element ref="ns2:BeneficiarySt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ector" minOccurs="0"/>
                <xsd:element ref="ns2:Comments" minOccurs="0"/>
                <xsd:element ref="ns2:_x0068_wp6" minOccurs="0"/>
                <xsd:element ref="ns2:c3o6" minOccurs="0"/>
                <xsd:element ref="ns2:cnou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8c8e-ef85-4a6d-9165-d2703feb687c" elementFormDefault="qualified">
    <xsd:import namespace="http://schemas.microsoft.com/office/2006/documentManagement/types"/>
    <xsd:import namespace="http://schemas.microsoft.com/office/infopath/2007/PartnerControls"/>
    <xsd:element name="ProgrammeManager" ma:index="8" nillable="true" ma:displayName="Programme Manager" ma:format="Dropdown" ma:list="UserInfo" ma:SharePointGroup="0" ma:internalName="Programme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neficiaryState" ma:index="9" nillable="true" ma:displayName="Beneficiary State" ma:format="Dropdown" ma:internalName="BeneficiaryState">
      <xsd:simpleType>
        <xsd:union memberTypes="dms:Text">
          <xsd:simpleType>
            <xsd:restriction base="dms:Choice">
              <xsd:enumeration value="CZ"/>
              <xsd:enumeration value="EE"/>
              <xsd:enumeration value="LT"/>
              <xsd:enumeration value="LV"/>
              <xsd:enumeration value="RO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ctor" ma:index="16" nillable="true" ma:displayName="Priority Sector" ma:description="Name of a priority sector of the EEA and Norway Grants" ma:format="Dropdown" ma:internalName="Sector">
      <xsd:simpleType>
        <xsd:restriction base="dms:Choice">
          <xsd:enumeration value="PS1 Innovation, Research, Edu &amp; Competitiveness"/>
          <xsd:enumeration value="PS2 Social Inclusion, Youth, Poverty"/>
          <xsd:enumeration value="PS3 Environement, Energy, Climate, ..."/>
          <xsd:enumeration value="PS4 Culture, CivilSoc, Governance,..."/>
          <xsd:enumeration value="PS5 Justice &amp; Home Affairs"/>
        </xsd:restriction>
      </xsd:simpleType>
    </xsd:element>
    <xsd:element name="Comments" ma:index="17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_x0068_wp6" ma:index="18" nillable="true" ma:displayName="Person or Group" ma:list="UserInfo" ma:internalName="_x0068_wp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3o6" ma:index="19" nillable="true" ma:displayName="Person or Group" ma:list="UserInfo" ma:internalName="c3o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nou" ma:index="20" nillable="true" ma:displayName="Frank Arne Sandsund" ma:list="UserInfo" ma:internalName="cno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a80-d048-4266-aa12-24f4844a1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wp6 xmlns="6a938c8e-ef85-4a6d-9165-d2703feb687c">
      <UserInfo>
        <DisplayName/>
        <AccountId xsi:nil="true"/>
        <AccountType/>
      </UserInfo>
    </_x0068_wp6>
    <Comments xmlns="6a938c8e-ef85-4a6d-9165-d2703feb687c" xsi:nil="true"/>
    <ProgrammeManager xmlns="6a938c8e-ef85-4a6d-9165-d2703feb687c">
      <UserInfo>
        <DisplayName/>
        <AccountId xsi:nil="true"/>
        <AccountType/>
      </UserInfo>
    </ProgrammeManager>
    <BeneficiaryState xmlns="6a938c8e-ef85-4a6d-9165-d2703feb687c" xsi:nil="true"/>
    <Sector xmlns="6a938c8e-ef85-4a6d-9165-d2703feb687c" xsi:nil="true"/>
    <c3o6 xmlns="6a938c8e-ef85-4a6d-9165-d2703feb687c">
      <UserInfo>
        <DisplayName/>
        <AccountId xsi:nil="true"/>
        <AccountType/>
      </UserInfo>
    </c3o6>
    <cnou xmlns="6a938c8e-ef85-4a6d-9165-d2703feb687c">
      <UserInfo>
        <DisplayName/>
        <AccountId xsi:nil="true"/>
        <AccountType/>
      </UserInfo>
    </cno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ED58-91F4-4B96-9289-62FF9FFB9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C4BBC-FD7B-4EDE-BB9B-A4AD2462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8c8e-ef85-4a6d-9165-d2703feb687c"/>
    <ds:schemaRef ds:uri="beec3a80-d048-4266-aa12-24f4844a1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CAB72-EE2B-4215-89F4-3237DBB94C68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a938c8e-ef85-4a6d-9165-d2703feb687c"/>
    <ds:schemaRef ds:uri="http://schemas.openxmlformats.org/package/2006/metadata/core-properties"/>
    <ds:schemaRef ds:uri="beec3a80-d048-4266-aa12-24f4844a1e7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3B281C-5189-4253-A493-A834AA6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4710</Words>
  <Characters>2686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 8 priedas</vt:lpstr>
      <vt:lpstr>Gairės 8 priedas</vt:lpstr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8 priedas</dc:title>
  <dc:creator>Sandra Remeikienė</dc:creator>
  <cp:lastModifiedBy>Lina Benetė</cp:lastModifiedBy>
  <cp:revision>5</cp:revision>
  <dcterms:created xsi:type="dcterms:W3CDTF">2021-03-30T08:05:00Z</dcterms:created>
  <dcterms:modified xsi:type="dcterms:W3CDTF">2021-04-06T13:44:00Z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0x010100940CD0A7B7E20643B47EF46ED85C1A31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0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</vt:lpwstr>
  </property>
  <property fmtid="{D5CDD505-2E9C-101B-9397-08002B2CF9AE}" pid="11" name="DmsPermissionsUsers">
    <vt:lpwstr>205;#Lina Benetė;#203;#Lina Janionytė;#191;#Sandra Remeikienė;#74;#Birutė Meržvinskienė;#273;#Dalia Vinklerė;#462;#Irma Šopienė;#247;#Artūras Žarnovskis;#234;#Rasa Suraučienė;#47;#Gintaras Mickus;#768;#Erika Simaitė;#788;#Erika Patupytė</vt:lpwstr>
  </property>
  <property fmtid="{D5CDD505-2E9C-101B-9397-08002B2CF9AE}" pid="12" name="DmsDocPrepDocSendRegReal">
    <vt:bool>false</vt:bool>
  </property>
</Properties>
</file>