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843A" w14:textId="77777777" w:rsidR="00340287" w:rsidRPr="002D3B7E" w:rsidRDefault="00340287" w:rsidP="00340287">
      <w:pPr>
        <w:ind w:left="5812"/>
        <w:jc w:val="both"/>
        <w:rPr>
          <w:rFonts w:eastAsia="Calibri"/>
          <w:sz w:val="22"/>
          <w:szCs w:val="22"/>
          <w:lang w:val="en-GB"/>
        </w:rPr>
      </w:pPr>
      <w:r w:rsidRPr="002D3B7E">
        <w:rPr>
          <w:rFonts w:eastAsia="Calibri"/>
          <w:sz w:val="22"/>
          <w:szCs w:val="22"/>
          <w:lang w:val="en-GB"/>
        </w:rPr>
        <w:t>Guidelines for the Applicants of the open call “</w:t>
      </w:r>
      <w:r>
        <w:rPr>
          <w:rFonts w:eastAsia="Calibri"/>
          <w:sz w:val="22"/>
          <w:szCs w:val="22"/>
          <w:lang w:val="en-GB"/>
        </w:rPr>
        <w:t>Establishment of One Stop Centres for families and children</w:t>
      </w:r>
      <w:r w:rsidRPr="002D3B7E">
        <w:rPr>
          <w:rFonts w:eastAsia="Calibri"/>
          <w:sz w:val="22"/>
          <w:szCs w:val="22"/>
          <w:lang w:val="en-GB"/>
        </w:rPr>
        <w:t>” under the Programme “Health” of the European Economic Area Financial Mechanism 2014-2021</w:t>
      </w:r>
    </w:p>
    <w:p w14:paraId="77A58341" w14:textId="283ECB5F" w:rsidR="00340287" w:rsidRPr="002D3B7E" w:rsidRDefault="00340287" w:rsidP="00340287">
      <w:pPr>
        <w:ind w:left="5812"/>
        <w:jc w:val="both"/>
        <w:rPr>
          <w:rFonts w:eastAsia="Calibri"/>
          <w:sz w:val="22"/>
          <w:szCs w:val="22"/>
          <w:lang w:val="en-GB"/>
        </w:rPr>
      </w:pPr>
      <w:r w:rsidRPr="002D3B7E">
        <w:rPr>
          <w:rFonts w:eastAsia="Calibri"/>
          <w:sz w:val="22"/>
          <w:szCs w:val="22"/>
          <w:lang w:val="en-GB"/>
        </w:rPr>
        <w:t xml:space="preserve">Annex </w:t>
      </w:r>
      <w:r w:rsidR="00483CA1">
        <w:rPr>
          <w:rFonts w:eastAsia="Calibri"/>
          <w:sz w:val="22"/>
          <w:szCs w:val="22"/>
          <w:lang w:val="en-GB"/>
        </w:rPr>
        <w:t>6</w:t>
      </w:r>
    </w:p>
    <w:p w14:paraId="0CD3118F" w14:textId="77777777" w:rsidR="005B4964" w:rsidRPr="009D444B" w:rsidRDefault="005B4964" w:rsidP="005B4964">
      <w:pPr>
        <w:ind w:left="6663"/>
        <w:jc w:val="both"/>
        <w:rPr>
          <w:szCs w:val="24"/>
          <w:lang w:val="en-GB"/>
        </w:rPr>
      </w:pPr>
    </w:p>
    <w:p w14:paraId="0C0D921F" w14:textId="77777777" w:rsidR="00D61F05" w:rsidRPr="009D444B" w:rsidRDefault="00D61F05" w:rsidP="00D61F05">
      <w:pPr>
        <w:ind w:left="10773"/>
        <w:rPr>
          <w:lang w:val="en-GB"/>
        </w:rPr>
      </w:pPr>
    </w:p>
    <w:p w14:paraId="7FAB6D4C" w14:textId="70D0B4D3" w:rsidR="00D61F05" w:rsidRPr="009D444B" w:rsidRDefault="00065FDE" w:rsidP="00D61F05">
      <w:pPr>
        <w:jc w:val="center"/>
        <w:rPr>
          <w:b/>
          <w:bCs/>
          <w:color w:val="000000"/>
          <w:lang w:val="en-GB"/>
        </w:rPr>
      </w:pPr>
      <w:sdt>
        <w:sdtPr>
          <w:rPr>
            <w:lang w:val="en-GB"/>
          </w:rPr>
          <w:alias w:val="Pavadinimas"/>
          <w:tag w:val="title_24128f9328ad400981b5a08f1c6dba4d"/>
          <w:id w:val="584883860"/>
        </w:sdtPr>
        <w:sdtEndPr/>
        <w:sdtContent>
          <w:sdt>
            <w:sdtPr>
              <w:rPr>
                <w:lang w:val="en-GB"/>
              </w:rPr>
              <w:alias w:val="Pavadinimas"/>
              <w:tag w:val="title_24128f9328ad400981b5a08f1c6dba4d"/>
              <w:id w:val="-1114206100"/>
            </w:sdtPr>
            <w:sdtEndPr/>
            <w:sdtContent>
              <w:r w:rsidR="008A4A2B" w:rsidRPr="009D444B">
                <w:rPr>
                  <w:b/>
                  <w:bCs/>
                  <w:color w:val="000000"/>
                  <w:lang w:val="en-GB"/>
                </w:rPr>
                <w:t>METHODOLOGY FOR CALCULATING MONITORING INDICATORS</w:t>
              </w:r>
            </w:sdtContent>
          </w:sdt>
        </w:sdtContent>
      </w:sdt>
    </w:p>
    <w:p w14:paraId="6E8D0C18" w14:textId="77777777" w:rsidR="00D61F05" w:rsidRPr="009D444B" w:rsidRDefault="00D61F05" w:rsidP="00D61F05">
      <w:pPr>
        <w:rPr>
          <w:b/>
          <w:bCs/>
          <w:color w:val="000000"/>
          <w:sz w:val="20"/>
          <w:lang w:val="en-GB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32"/>
        <w:gridCol w:w="1485"/>
        <w:gridCol w:w="1985"/>
        <w:gridCol w:w="1225"/>
        <w:gridCol w:w="1496"/>
        <w:gridCol w:w="1459"/>
        <w:gridCol w:w="1355"/>
        <w:gridCol w:w="1560"/>
        <w:gridCol w:w="6"/>
        <w:gridCol w:w="1531"/>
        <w:gridCol w:w="6"/>
      </w:tblGrid>
      <w:tr w:rsidR="008A4A2B" w:rsidRPr="009D444B" w14:paraId="1E94D569" w14:textId="77777777" w:rsidTr="00BD7185">
        <w:trPr>
          <w:trHeight w:val="907"/>
        </w:trPr>
        <w:tc>
          <w:tcPr>
            <w:tcW w:w="244" w:type="pct"/>
            <w:vAlign w:val="center"/>
          </w:tcPr>
          <w:p w14:paraId="3415EEEE" w14:textId="60467C0B" w:rsidR="008A4A2B" w:rsidRPr="009D444B" w:rsidRDefault="008A4A2B" w:rsidP="008A4A2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Indicator No</w:t>
            </w:r>
          </w:p>
        </w:tc>
        <w:tc>
          <w:tcPr>
            <w:tcW w:w="565" w:type="pct"/>
            <w:vAlign w:val="center"/>
          </w:tcPr>
          <w:p w14:paraId="0B119235" w14:textId="77777777" w:rsidR="008A4A2B" w:rsidRPr="009D444B" w:rsidRDefault="008A4A2B" w:rsidP="008A4A2B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Indicator name</w:t>
            </w:r>
          </w:p>
          <w:p w14:paraId="52F9DECA" w14:textId="77777777" w:rsidR="008A4A2B" w:rsidRPr="009D444B" w:rsidRDefault="008A4A2B" w:rsidP="008A4A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14" w:type="pct"/>
            <w:vAlign w:val="center"/>
          </w:tcPr>
          <w:p w14:paraId="56E4BDE1" w14:textId="1AE37E9B" w:rsidR="008A4A2B" w:rsidRPr="009D444B" w:rsidRDefault="008A4A2B" w:rsidP="008A4A2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The target value of the program</w:t>
            </w:r>
          </w:p>
        </w:tc>
        <w:tc>
          <w:tcPr>
            <w:tcW w:w="687" w:type="pct"/>
            <w:vAlign w:val="center"/>
          </w:tcPr>
          <w:p w14:paraId="00A0F259" w14:textId="247CC804" w:rsidR="008A4A2B" w:rsidRPr="009D444B" w:rsidRDefault="008A4A2B" w:rsidP="008A4A2B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Explanation of the indicator</w:t>
            </w:r>
          </w:p>
        </w:tc>
        <w:tc>
          <w:tcPr>
            <w:tcW w:w="2458" w:type="pct"/>
            <w:gridSpan w:val="6"/>
            <w:vAlign w:val="center"/>
          </w:tcPr>
          <w:p w14:paraId="397DE9D8" w14:textId="4BA60E78" w:rsidR="008A4A2B" w:rsidRPr="009D444B" w:rsidRDefault="008A4A2B" w:rsidP="008A4A2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533" w:type="pct"/>
            <w:gridSpan w:val="2"/>
            <w:vAlign w:val="center"/>
          </w:tcPr>
          <w:p w14:paraId="2E80CF13" w14:textId="35C34662" w:rsidR="008A4A2B" w:rsidRPr="009D444B" w:rsidRDefault="008A4A2B" w:rsidP="008A4A2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Authority responsible for providing information / data to the CPMA</w:t>
            </w:r>
          </w:p>
        </w:tc>
      </w:tr>
      <w:tr w:rsidR="00D21E61" w:rsidRPr="009D444B" w14:paraId="1D449C3D" w14:textId="77777777" w:rsidTr="00BD7185">
        <w:trPr>
          <w:gridAfter w:val="1"/>
          <w:wAfter w:w="5" w:type="pct"/>
        </w:trPr>
        <w:tc>
          <w:tcPr>
            <w:tcW w:w="244" w:type="pct"/>
            <w:vAlign w:val="center"/>
          </w:tcPr>
          <w:p w14:paraId="4ECBD7E3" w14:textId="77777777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5" w:type="pct"/>
            <w:vAlign w:val="center"/>
          </w:tcPr>
          <w:p w14:paraId="7D2608E3" w14:textId="77777777" w:rsidR="00D21E61" w:rsidRPr="009D444B" w:rsidRDefault="00D21E61" w:rsidP="00D21E61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14" w:type="pct"/>
          </w:tcPr>
          <w:p w14:paraId="372FDC1C" w14:textId="77777777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87" w:type="pct"/>
            <w:vAlign w:val="center"/>
          </w:tcPr>
          <w:p w14:paraId="421BEA86" w14:textId="77777777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4" w:type="pct"/>
            <w:vAlign w:val="center"/>
          </w:tcPr>
          <w:p w14:paraId="4400F40A" w14:textId="2705576E" w:rsidR="00D21E61" w:rsidRPr="009D444B" w:rsidRDefault="00D21E61" w:rsidP="00D21E61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18" w:type="pct"/>
            <w:vAlign w:val="center"/>
          </w:tcPr>
          <w:p w14:paraId="739F09E8" w14:textId="4AEF5063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505" w:type="pct"/>
            <w:vAlign w:val="center"/>
          </w:tcPr>
          <w:p w14:paraId="374C0729" w14:textId="46D634BA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469" w:type="pct"/>
            <w:vAlign w:val="center"/>
          </w:tcPr>
          <w:p w14:paraId="7ABB8FB9" w14:textId="155D7AE3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Data source </w:t>
            </w:r>
          </w:p>
        </w:tc>
        <w:tc>
          <w:tcPr>
            <w:tcW w:w="540" w:type="pct"/>
            <w:vAlign w:val="center"/>
          </w:tcPr>
          <w:p w14:paraId="0885B8A0" w14:textId="388E0273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Moment of achievement</w:t>
            </w:r>
          </w:p>
        </w:tc>
        <w:tc>
          <w:tcPr>
            <w:tcW w:w="532" w:type="pct"/>
            <w:gridSpan w:val="2"/>
            <w:vAlign w:val="center"/>
          </w:tcPr>
          <w:p w14:paraId="0D0894E4" w14:textId="77777777" w:rsidR="00D21E61" w:rsidRPr="009D444B" w:rsidRDefault="00D21E61" w:rsidP="00D21E6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D61F05" w:rsidRPr="009D444B" w14:paraId="367610F9" w14:textId="77777777" w:rsidTr="00BD7185">
        <w:trPr>
          <w:trHeight w:val="409"/>
        </w:trPr>
        <w:tc>
          <w:tcPr>
            <w:tcW w:w="5000" w:type="pct"/>
            <w:gridSpan w:val="12"/>
            <w:vAlign w:val="center"/>
          </w:tcPr>
          <w:p w14:paraId="6C2A867B" w14:textId="4CE1E2A7" w:rsidR="00D61F05" w:rsidRPr="009D444B" w:rsidRDefault="00D903BA" w:rsidP="00E72554">
            <w:pPr>
              <w:rPr>
                <w:b/>
                <w:bCs/>
                <w:sz w:val="20"/>
                <w:lang w:val="en-GB"/>
              </w:rPr>
            </w:pPr>
            <w:r w:rsidRPr="00BD7185">
              <w:rPr>
                <w:b/>
                <w:sz w:val="20"/>
                <w:lang w:val="en-GB"/>
              </w:rPr>
              <w:t xml:space="preserve">Outcome </w:t>
            </w:r>
            <w:r w:rsidR="008A4A2B" w:rsidRPr="00BD7185">
              <w:rPr>
                <w:b/>
                <w:sz w:val="20"/>
                <w:lang w:val="en-GB"/>
              </w:rPr>
              <w:t xml:space="preserve"> indicators</w:t>
            </w:r>
            <w:r w:rsidR="008A4A2B" w:rsidRPr="009D444B">
              <w:rPr>
                <w:b/>
                <w:bCs/>
                <w:lang w:val="en-GB"/>
              </w:rPr>
              <w:t xml:space="preserve"> </w:t>
            </w:r>
          </w:p>
        </w:tc>
      </w:tr>
      <w:tr w:rsidR="00A50EBF" w:rsidRPr="009D444B" w14:paraId="54BAECAA" w14:textId="77777777" w:rsidTr="00BD7185">
        <w:trPr>
          <w:gridAfter w:val="1"/>
          <w:wAfter w:w="5" w:type="pct"/>
        </w:trPr>
        <w:tc>
          <w:tcPr>
            <w:tcW w:w="244" w:type="pct"/>
          </w:tcPr>
          <w:p w14:paraId="6A75F6B2" w14:textId="77777777" w:rsidR="00D61F05" w:rsidRPr="009D444B" w:rsidRDefault="00D61F05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1.</w:t>
            </w:r>
          </w:p>
        </w:tc>
        <w:tc>
          <w:tcPr>
            <w:tcW w:w="565" w:type="pct"/>
          </w:tcPr>
          <w:p w14:paraId="4A860D7D" w14:textId="57A7636A" w:rsidR="00D61F05" w:rsidRPr="009D444B" w:rsidRDefault="008A4A2B" w:rsidP="00D903BA">
            <w:pPr>
              <w:tabs>
                <w:tab w:val="left" w:pos="317"/>
                <w:tab w:val="left" w:pos="459"/>
              </w:tabs>
              <w:ind w:right="34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of </w:t>
            </w:r>
            <w:r w:rsidR="00D903BA">
              <w:rPr>
                <w:sz w:val="20"/>
                <w:lang w:val="en-GB"/>
              </w:rPr>
              <w:t>beneficiaries of</w:t>
            </w:r>
            <w:r w:rsidRPr="009D444B">
              <w:rPr>
                <w:sz w:val="20"/>
                <w:lang w:val="en-GB"/>
              </w:rPr>
              <w:t xml:space="preserve"> services</w:t>
            </w:r>
            <w:r w:rsidR="00D903BA">
              <w:rPr>
                <w:sz w:val="20"/>
                <w:lang w:val="en-GB"/>
              </w:rPr>
              <w:t xml:space="preserve"> provided</w:t>
            </w:r>
            <w:r w:rsidR="00BF5627" w:rsidRPr="009D444B">
              <w:rPr>
                <w:rStyle w:val="FootnoteReference"/>
                <w:sz w:val="20"/>
                <w:lang w:val="en-GB"/>
              </w:rPr>
              <w:footnoteReference w:id="2"/>
            </w:r>
          </w:p>
        </w:tc>
        <w:tc>
          <w:tcPr>
            <w:tcW w:w="514" w:type="pct"/>
          </w:tcPr>
          <w:p w14:paraId="13C053CC" w14:textId="79710401" w:rsidR="00D61F05" w:rsidRPr="009D444B" w:rsidRDefault="00EE1817" w:rsidP="00E72554">
            <w:pPr>
              <w:rPr>
                <w:color w:val="70AD47" w:themeColor="accent6"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96</w:t>
            </w:r>
            <w:r w:rsidR="00A931A9" w:rsidRPr="009D444B">
              <w:rPr>
                <w:sz w:val="20"/>
                <w:lang w:val="en-GB"/>
              </w:rPr>
              <w:t>6</w:t>
            </w:r>
            <w:r w:rsidRPr="009D444B">
              <w:rPr>
                <w:sz w:val="20"/>
                <w:lang w:val="en-GB"/>
              </w:rPr>
              <w:t>3</w:t>
            </w:r>
          </w:p>
        </w:tc>
        <w:tc>
          <w:tcPr>
            <w:tcW w:w="687" w:type="pct"/>
          </w:tcPr>
          <w:p w14:paraId="68DFF1DA" w14:textId="64A1FE0D" w:rsidR="00A40DB2" w:rsidRPr="009D444B" w:rsidRDefault="00591178" w:rsidP="00EE1817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An individual having receive</w:t>
            </w:r>
            <w:r w:rsidR="00D903BA">
              <w:rPr>
                <w:sz w:val="20"/>
                <w:lang w:val="en-GB"/>
              </w:rPr>
              <w:t>d social basic services at the “</w:t>
            </w:r>
            <w:r w:rsidRPr="009D444B">
              <w:rPr>
                <w:sz w:val="20"/>
                <w:lang w:val="en-GB"/>
              </w:rPr>
              <w:t>One Stop" centre (the definition of basic social services is given in sub-clause 3.18 of the Guidelines).</w:t>
            </w:r>
          </w:p>
        </w:tc>
        <w:tc>
          <w:tcPr>
            <w:tcW w:w="424" w:type="pct"/>
          </w:tcPr>
          <w:p w14:paraId="724E3240" w14:textId="203B4BE6" w:rsidR="00D61F05" w:rsidRPr="009D444B" w:rsidRDefault="00954EBF" w:rsidP="00E72554">
            <w:pPr>
              <w:rPr>
                <w:strike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18" w:type="pct"/>
          </w:tcPr>
          <w:p w14:paraId="3CEABD55" w14:textId="583A082F" w:rsidR="000D0418" w:rsidRPr="009D444B" w:rsidRDefault="00954EBF" w:rsidP="000D041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  <w:p w14:paraId="3320A4EC" w14:textId="29E9E786" w:rsidR="000D0418" w:rsidRPr="009D444B" w:rsidRDefault="000D0418" w:rsidP="000D0418">
            <w:pPr>
              <w:rPr>
                <w:sz w:val="20"/>
                <w:lang w:val="en-GB"/>
              </w:rPr>
            </w:pPr>
          </w:p>
          <w:p w14:paraId="0D63C90A" w14:textId="77777777" w:rsidR="00D61F05" w:rsidRPr="009D444B" w:rsidRDefault="00D61F05" w:rsidP="000D0418">
            <w:pPr>
              <w:ind w:firstLine="1296"/>
              <w:rPr>
                <w:sz w:val="20"/>
                <w:lang w:val="en-GB"/>
              </w:rPr>
            </w:pPr>
          </w:p>
        </w:tc>
        <w:tc>
          <w:tcPr>
            <w:tcW w:w="505" w:type="pct"/>
          </w:tcPr>
          <w:p w14:paraId="70263C74" w14:textId="54274DD8" w:rsidR="005762DD" w:rsidRPr="009D444B" w:rsidRDefault="005762DD" w:rsidP="005762D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Individuals, who have receive</w:t>
            </w:r>
            <w:r w:rsidR="00D903BA">
              <w:rPr>
                <w:sz w:val="20"/>
                <w:lang w:val="en-GB"/>
              </w:rPr>
              <w:t>d social basic services at the “One Stop”</w:t>
            </w:r>
            <w:r w:rsidRPr="009D444B">
              <w:rPr>
                <w:sz w:val="20"/>
                <w:lang w:val="en-GB"/>
              </w:rPr>
              <w:t xml:space="preserve"> centre, are summed up </w:t>
            </w:r>
          </w:p>
          <w:p w14:paraId="4631556F" w14:textId="77777777" w:rsidR="005762DD" w:rsidRPr="009D444B" w:rsidRDefault="005762DD" w:rsidP="00E72554">
            <w:pPr>
              <w:rPr>
                <w:sz w:val="20"/>
                <w:lang w:val="en-GB"/>
              </w:rPr>
            </w:pPr>
          </w:p>
          <w:p w14:paraId="717B7D3A" w14:textId="77777777" w:rsidR="00C00B6A" w:rsidRPr="009D444B" w:rsidRDefault="00C00B6A" w:rsidP="00E72554">
            <w:pPr>
              <w:rPr>
                <w:sz w:val="20"/>
                <w:lang w:val="en-GB"/>
              </w:rPr>
            </w:pPr>
          </w:p>
          <w:p w14:paraId="55656425" w14:textId="77777777" w:rsidR="00C00B6A" w:rsidRPr="009D444B" w:rsidRDefault="00C00B6A" w:rsidP="00E72554">
            <w:pPr>
              <w:rPr>
                <w:sz w:val="20"/>
                <w:lang w:val="en-GB"/>
              </w:rPr>
            </w:pPr>
          </w:p>
          <w:p w14:paraId="146E37EE" w14:textId="21E6119F" w:rsidR="00C00B6A" w:rsidRPr="009D444B" w:rsidRDefault="00C00B6A" w:rsidP="00E72554">
            <w:pPr>
              <w:rPr>
                <w:sz w:val="20"/>
                <w:lang w:val="en-GB"/>
              </w:rPr>
            </w:pPr>
          </w:p>
        </w:tc>
        <w:tc>
          <w:tcPr>
            <w:tcW w:w="469" w:type="pct"/>
          </w:tcPr>
          <w:p w14:paraId="2B33D378" w14:textId="399ED5BF" w:rsidR="00307692" w:rsidRPr="009D444B" w:rsidRDefault="00307692" w:rsidP="00307692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Primary sources - activity reports </w:t>
            </w:r>
            <w:r w:rsidR="00D903BA">
              <w:rPr>
                <w:sz w:val="20"/>
                <w:lang w:val="en-GB"/>
              </w:rPr>
              <w:t>submitted by the Project P</w:t>
            </w:r>
            <w:r w:rsidRPr="009D444B">
              <w:rPr>
                <w:sz w:val="20"/>
                <w:lang w:val="en-GB"/>
              </w:rPr>
              <w:t xml:space="preserve">romoter. </w:t>
            </w:r>
          </w:p>
          <w:p w14:paraId="2A73B2C1" w14:textId="77777777" w:rsidR="00307692" w:rsidRPr="009D444B" w:rsidRDefault="00307692" w:rsidP="00E72554">
            <w:pPr>
              <w:rPr>
                <w:sz w:val="20"/>
                <w:lang w:val="en-GB"/>
              </w:rPr>
            </w:pPr>
          </w:p>
          <w:p w14:paraId="5BBCE414" w14:textId="7E20C259" w:rsidR="00D61F05" w:rsidRPr="009D444B" w:rsidRDefault="00307692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Project payment requests.</w:t>
            </w:r>
          </w:p>
        </w:tc>
        <w:tc>
          <w:tcPr>
            <w:tcW w:w="540" w:type="pct"/>
          </w:tcPr>
          <w:p w14:paraId="01891CD1" w14:textId="05695888" w:rsidR="00A25C45" w:rsidRPr="009D444B" w:rsidRDefault="009147ED" w:rsidP="00105DE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The indicator is m</w:t>
            </w:r>
            <w:r w:rsidR="00A25C45" w:rsidRPr="009D444B">
              <w:rPr>
                <w:sz w:val="20"/>
                <w:lang w:val="en-GB"/>
              </w:rPr>
              <w:t xml:space="preserve">easured continuously. </w:t>
            </w:r>
          </w:p>
          <w:p w14:paraId="6C91B3D2" w14:textId="04233048" w:rsidR="00A25C45" w:rsidRPr="009D444B" w:rsidRDefault="00A25C45" w:rsidP="00105DE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Data on the achievement of the indicator are collected at least once every six months according to the periodicity of submission of payment requests (PR).</w:t>
            </w:r>
          </w:p>
          <w:p w14:paraId="6E95CE1C" w14:textId="77777777" w:rsidR="00A25C45" w:rsidRPr="009D444B" w:rsidRDefault="00A25C45" w:rsidP="00105DE5">
            <w:pPr>
              <w:rPr>
                <w:sz w:val="20"/>
                <w:lang w:val="en-GB"/>
              </w:rPr>
            </w:pPr>
          </w:p>
          <w:p w14:paraId="7BC29CD5" w14:textId="50438D5B" w:rsidR="00A25C45" w:rsidRPr="009D444B" w:rsidRDefault="00A25C45" w:rsidP="00105DE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PR of the </w:t>
            </w:r>
            <w:r w:rsidRPr="009D444B">
              <w:rPr>
                <w:sz w:val="20"/>
                <w:lang w:val="en-GB"/>
              </w:rPr>
              <w:lastRenderedPageBreak/>
              <w:t xml:space="preserve">Project is approved. </w:t>
            </w:r>
          </w:p>
          <w:p w14:paraId="565EBC2B" w14:textId="2EC8FE7F" w:rsidR="00C263E1" w:rsidRPr="009D444B" w:rsidRDefault="00C263E1" w:rsidP="00105DE5">
            <w:pPr>
              <w:rPr>
                <w:sz w:val="20"/>
                <w:lang w:val="en-GB"/>
              </w:rPr>
            </w:pPr>
          </w:p>
        </w:tc>
        <w:tc>
          <w:tcPr>
            <w:tcW w:w="532" w:type="pct"/>
            <w:gridSpan w:val="2"/>
          </w:tcPr>
          <w:p w14:paraId="0B65A015" w14:textId="045EE303" w:rsidR="00D61F05" w:rsidRPr="009D444B" w:rsidRDefault="00D21E61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>Project Promoter</w:t>
            </w:r>
          </w:p>
        </w:tc>
      </w:tr>
      <w:tr w:rsidR="00325443" w:rsidRPr="009D444B" w14:paraId="0E537CCD" w14:textId="77777777" w:rsidTr="00BD7185">
        <w:trPr>
          <w:gridAfter w:val="1"/>
          <w:wAfter w:w="5" w:type="pct"/>
        </w:trPr>
        <w:tc>
          <w:tcPr>
            <w:tcW w:w="244" w:type="pct"/>
          </w:tcPr>
          <w:p w14:paraId="22BBDF1F" w14:textId="3C3BEE64" w:rsidR="00325443" w:rsidRPr="009D444B" w:rsidRDefault="00325443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2.</w:t>
            </w:r>
          </w:p>
        </w:tc>
        <w:tc>
          <w:tcPr>
            <w:tcW w:w="565" w:type="pct"/>
          </w:tcPr>
          <w:p w14:paraId="1C6B6375" w14:textId="1C94B275" w:rsidR="00325443" w:rsidRPr="009D444B" w:rsidRDefault="00591178" w:rsidP="00D903BA">
            <w:pPr>
              <w:tabs>
                <w:tab w:val="left" w:pos="317"/>
                <w:tab w:val="left" w:pos="459"/>
              </w:tabs>
              <w:ind w:right="34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Level of satisfaction </w:t>
            </w:r>
            <w:r w:rsidR="00D903BA">
              <w:rPr>
                <w:sz w:val="20"/>
                <w:lang w:val="en-GB"/>
              </w:rPr>
              <w:t>of</w:t>
            </w:r>
            <w:r w:rsidRPr="009D444B">
              <w:rPr>
                <w:sz w:val="20"/>
                <w:lang w:val="en-GB"/>
              </w:rPr>
              <w:t xml:space="preserve"> services provided (</w:t>
            </w:r>
            <w:r w:rsidR="00D903BA">
              <w:rPr>
                <w:sz w:val="20"/>
                <w:lang w:val="en-GB"/>
              </w:rPr>
              <w:t>on a</w:t>
            </w:r>
            <w:r w:rsidRPr="009D444B">
              <w:rPr>
                <w:sz w:val="20"/>
                <w:lang w:val="en-GB"/>
              </w:rPr>
              <w:t xml:space="preserve"> scale from </w:t>
            </w:r>
            <w:r w:rsidR="00325443" w:rsidRPr="009D444B">
              <w:rPr>
                <w:sz w:val="20"/>
                <w:lang w:val="en-GB"/>
              </w:rPr>
              <w:t xml:space="preserve">1 </w:t>
            </w:r>
            <w:r w:rsidRPr="009D444B">
              <w:rPr>
                <w:sz w:val="20"/>
                <w:lang w:val="en-GB"/>
              </w:rPr>
              <w:t>to</w:t>
            </w:r>
            <w:r w:rsidR="00325443" w:rsidRPr="009D444B">
              <w:rPr>
                <w:sz w:val="20"/>
                <w:lang w:val="en-GB"/>
              </w:rPr>
              <w:t xml:space="preserve"> 5)</w:t>
            </w:r>
          </w:p>
        </w:tc>
        <w:tc>
          <w:tcPr>
            <w:tcW w:w="514" w:type="pct"/>
          </w:tcPr>
          <w:p w14:paraId="5ED34603" w14:textId="0EABF681" w:rsidR="00325443" w:rsidRPr="009D444B" w:rsidRDefault="007B391D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4</w:t>
            </w:r>
          </w:p>
        </w:tc>
        <w:tc>
          <w:tcPr>
            <w:tcW w:w="687" w:type="pct"/>
          </w:tcPr>
          <w:p w14:paraId="6A31B801" w14:textId="629C3A76" w:rsidR="00325443" w:rsidRPr="009D444B" w:rsidRDefault="003507E7" w:rsidP="001A7B7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Satisfaction with the services provided - evaluation of the services by the individuals having received the services</w:t>
            </w:r>
          </w:p>
        </w:tc>
        <w:tc>
          <w:tcPr>
            <w:tcW w:w="424" w:type="pct"/>
          </w:tcPr>
          <w:p w14:paraId="106CF32E" w14:textId="22BBEB72" w:rsidR="00325443" w:rsidRPr="009D444B" w:rsidRDefault="007B391D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</w:t>
            </w:r>
            <w:r w:rsidR="00954EBF" w:rsidRPr="009D444B">
              <w:rPr>
                <w:sz w:val="20"/>
                <w:lang w:val="en-GB"/>
              </w:rPr>
              <w:t>cale from</w:t>
            </w:r>
            <w:r w:rsidRPr="009D444B">
              <w:rPr>
                <w:sz w:val="20"/>
                <w:lang w:val="en-GB"/>
              </w:rPr>
              <w:t xml:space="preserve"> 1 </w:t>
            </w:r>
            <w:r w:rsidR="00954EBF" w:rsidRPr="009D444B">
              <w:rPr>
                <w:sz w:val="20"/>
                <w:lang w:val="en-GB"/>
              </w:rPr>
              <w:t>to</w:t>
            </w:r>
            <w:r w:rsidRPr="009D444B">
              <w:rPr>
                <w:sz w:val="20"/>
                <w:lang w:val="en-GB"/>
              </w:rPr>
              <w:t xml:space="preserve"> 5</w:t>
            </w:r>
          </w:p>
        </w:tc>
        <w:tc>
          <w:tcPr>
            <w:tcW w:w="518" w:type="pct"/>
          </w:tcPr>
          <w:p w14:paraId="18DA4BC1" w14:textId="7F190E87" w:rsidR="007B391D" w:rsidRPr="009D444B" w:rsidRDefault="00954EBF" w:rsidP="007B391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  <w:p w14:paraId="3EB9E601" w14:textId="77777777" w:rsidR="00325443" w:rsidRPr="009D444B" w:rsidRDefault="00325443" w:rsidP="000D0418">
            <w:pPr>
              <w:rPr>
                <w:sz w:val="20"/>
                <w:lang w:val="en-GB"/>
              </w:rPr>
            </w:pPr>
          </w:p>
        </w:tc>
        <w:tc>
          <w:tcPr>
            <w:tcW w:w="505" w:type="pct"/>
          </w:tcPr>
          <w:p w14:paraId="7CB99A56" w14:textId="528F3A37" w:rsidR="00325443" w:rsidRPr="009D444B" w:rsidRDefault="005762DD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Research data is summed up </w:t>
            </w:r>
          </w:p>
        </w:tc>
        <w:tc>
          <w:tcPr>
            <w:tcW w:w="469" w:type="pct"/>
          </w:tcPr>
          <w:p w14:paraId="0780BE48" w14:textId="35015DA3" w:rsidR="007B391D" w:rsidRPr="009D444B" w:rsidRDefault="00A25C45" w:rsidP="007B391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Primary sources</w:t>
            </w:r>
            <w:r w:rsidR="007B391D" w:rsidRPr="009D444B">
              <w:rPr>
                <w:sz w:val="20"/>
                <w:lang w:val="en-GB"/>
              </w:rPr>
              <w:t xml:space="preserve"> - </w:t>
            </w:r>
            <w:r w:rsidRPr="009D444B">
              <w:rPr>
                <w:sz w:val="20"/>
                <w:lang w:val="en-GB"/>
              </w:rPr>
              <w:t>summaries of the surveys carried out by the Project Promoter.</w:t>
            </w:r>
          </w:p>
          <w:p w14:paraId="71107DF9" w14:textId="77777777" w:rsidR="007B391D" w:rsidRPr="009D444B" w:rsidRDefault="007B391D" w:rsidP="007B391D">
            <w:pPr>
              <w:rPr>
                <w:sz w:val="20"/>
                <w:lang w:val="en-GB"/>
              </w:rPr>
            </w:pPr>
          </w:p>
          <w:p w14:paraId="7762DD9C" w14:textId="73877232" w:rsidR="00325443" w:rsidRPr="009D444B" w:rsidRDefault="00A25C45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Project payment requests.</w:t>
            </w:r>
          </w:p>
        </w:tc>
        <w:tc>
          <w:tcPr>
            <w:tcW w:w="540" w:type="pct"/>
          </w:tcPr>
          <w:p w14:paraId="788FF91D" w14:textId="502B7F48" w:rsidR="00A25C45" w:rsidRPr="009D444B" w:rsidRDefault="009147ED" w:rsidP="00105DE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</w:t>
            </w:r>
            <w:r w:rsidR="00D903BA">
              <w:rPr>
                <w:sz w:val="20"/>
                <w:lang w:val="en-GB"/>
              </w:rPr>
              <w:t>i</w:t>
            </w:r>
            <w:r w:rsidRPr="009D444B">
              <w:rPr>
                <w:sz w:val="20"/>
                <w:lang w:val="en-GB"/>
              </w:rPr>
              <w:t>s m</w:t>
            </w:r>
            <w:r w:rsidR="00A25C45" w:rsidRPr="009D444B">
              <w:rPr>
                <w:sz w:val="20"/>
                <w:lang w:val="en-GB"/>
              </w:rPr>
              <w:t xml:space="preserve">easured </w:t>
            </w:r>
            <w:r w:rsidR="00D903BA" w:rsidRPr="009D444B">
              <w:rPr>
                <w:sz w:val="20"/>
                <w:lang w:val="en-GB"/>
              </w:rPr>
              <w:t>contin</w:t>
            </w:r>
            <w:r w:rsidR="00D903BA">
              <w:rPr>
                <w:sz w:val="20"/>
                <w:lang w:val="en-GB"/>
              </w:rPr>
              <w:t>u</w:t>
            </w:r>
            <w:r w:rsidR="00D903BA" w:rsidRPr="009D444B">
              <w:rPr>
                <w:sz w:val="20"/>
                <w:lang w:val="en-GB"/>
              </w:rPr>
              <w:t>ou</w:t>
            </w:r>
            <w:r w:rsidR="00D903BA">
              <w:rPr>
                <w:sz w:val="20"/>
                <w:lang w:val="en-GB"/>
              </w:rPr>
              <w:t>s</w:t>
            </w:r>
            <w:r w:rsidR="00D903BA" w:rsidRPr="009D444B">
              <w:rPr>
                <w:sz w:val="20"/>
                <w:lang w:val="en-GB"/>
              </w:rPr>
              <w:t>ly</w:t>
            </w:r>
            <w:r w:rsidR="00A25C45" w:rsidRPr="009D444B">
              <w:rPr>
                <w:sz w:val="20"/>
                <w:lang w:val="en-GB"/>
              </w:rPr>
              <w:t>. Data on the achievement of the indicator are collected at least once a year according to the periodicity of submission of payment requests (PR).</w:t>
            </w:r>
          </w:p>
          <w:p w14:paraId="3F2ED45B" w14:textId="77777777" w:rsidR="00A25C45" w:rsidRPr="009D444B" w:rsidRDefault="00A25C45" w:rsidP="00105DE5">
            <w:pPr>
              <w:rPr>
                <w:sz w:val="20"/>
                <w:lang w:val="en-GB"/>
              </w:rPr>
            </w:pPr>
          </w:p>
          <w:p w14:paraId="26DC99FE" w14:textId="305C92EC" w:rsidR="00325443" w:rsidRPr="009D444B" w:rsidRDefault="009147ED" w:rsidP="009147E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PR of the Project is approved. </w:t>
            </w:r>
          </w:p>
        </w:tc>
        <w:tc>
          <w:tcPr>
            <w:tcW w:w="532" w:type="pct"/>
            <w:gridSpan w:val="2"/>
          </w:tcPr>
          <w:p w14:paraId="780C6389" w14:textId="2E423B9C" w:rsidR="00325443" w:rsidRPr="009D444B" w:rsidRDefault="00D21E61" w:rsidP="00E7255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Project Promoter</w:t>
            </w:r>
          </w:p>
        </w:tc>
      </w:tr>
      <w:tr w:rsidR="00DE7BE5" w:rsidRPr="009D444B" w14:paraId="19F2938E" w14:textId="77777777" w:rsidTr="00BD7185">
        <w:trPr>
          <w:trHeight w:val="479"/>
        </w:trPr>
        <w:tc>
          <w:tcPr>
            <w:tcW w:w="5000" w:type="pct"/>
            <w:gridSpan w:val="12"/>
            <w:vAlign w:val="center"/>
          </w:tcPr>
          <w:p w14:paraId="07E5E799" w14:textId="5D030BB3" w:rsidR="00DE7BE5" w:rsidRPr="009D444B" w:rsidRDefault="00BD7185" w:rsidP="00DE7BE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Output</w:t>
            </w:r>
            <w:r w:rsidR="00D21E61" w:rsidRPr="009D444B">
              <w:rPr>
                <w:b/>
                <w:sz w:val="20"/>
                <w:lang w:val="en-GB"/>
              </w:rPr>
              <w:t xml:space="preserve"> indicators </w:t>
            </w:r>
          </w:p>
        </w:tc>
      </w:tr>
      <w:tr w:rsidR="009B3E10" w:rsidRPr="009D444B" w14:paraId="13E41D0A" w14:textId="77777777" w:rsidTr="00BD7185">
        <w:trPr>
          <w:gridAfter w:val="1"/>
          <w:wAfter w:w="5" w:type="pct"/>
          <w:trHeight w:val="699"/>
        </w:trPr>
        <w:tc>
          <w:tcPr>
            <w:tcW w:w="244" w:type="pct"/>
          </w:tcPr>
          <w:p w14:paraId="0A136031" w14:textId="77777777" w:rsidR="009B3E10" w:rsidRPr="009D444B" w:rsidRDefault="009B3E10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1.</w:t>
            </w:r>
          </w:p>
        </w:tc>
        <w:tc>
          <w:tcPr>
            <w:tcW w:w="565" w:type="pct"/>
          </w:tcPr>
          <w:p w14:paraId="245DF4B8" w14:textId="3ABBC592" w:rsidR="009B3E10" w:rsidRPr="009D444B" w:rsidRDefault="00D903BA" w:rsidP="00D903B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“One stop” centres established ( based</w:t>
            </w:r>
            <w:r w:rsidR="00BD1881" w:rsidRPr="009D444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on</w:t>
            </w:r>
            <w:r w:rsidR="00BD1881" w:rsidRPr="009D444B">
              <w:rPr>
                <w:sz w:val="20"/>
                <w:lang w:val="en-GB"/>
              </w:rPr>
              <w:t xml:space="preserve"> existing infrastructure)</w:t>
            </w:r>
          </w:p>
        </w:tc>
        <w:tc>
          <w:tcPr>
            <w:tcW w:w="514" w:type="pct"/>
          </w:tcPr>
          <w:p w14:paraId="4382042B" w14:textId="1B5F7CEC" w:rsidR="009B3E10" w:rsidRPr="009D444B" w:rsidRDefault="007B391D" w:rsidP="009B3E10">
            <w:pPr>
              <w:rPr>
                <w:color w:val="70AD47" w:themeColor="accent6"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92E" w14:textId="6E54F446" w:rsidR="00936AF0" w:rsidRPr="009D444B" w:rsidRDefault="00BD7185" w:rsidP="009B3E10">
            <w:pPr>
              <w:suppressAutoHyphens/>
              <w:spacing w:line="256" w:lineRule="auto"/>
              <w:textAlignment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the established “</w:t>
            </w:r>
            <w:r w:rsidR="00936AF0" w:rsidRPr="009D444B">
              <w:rPr>
                <w:sz w:val="20"/>
                <w:lang w:val="en-GB"/>
              </w:rPr>
              <w:t>One Stop</w:t>
            </w:r>
            <w:r>
              <w:rPr>
                <w:sz w:val="20"/>
                <w:lang w:val="en-GB"/>
              </w:rPr>
              <w:t>”</w:t>
            </w:r>
            <w:r w:rsidR="00936AF0" w:rsidRPr="009D444B">
              <w:rPr>
                <w:sz w:val="20"/>
                <w:lang w:val="en-GB"/>
              </w:rPr>
              <w:t xml:space="preserve"> centres </w:t>
            </w:r>
          </w:p>
          <w:p w14:paraId="17AE3A07" w14:textId="77777777" w:rsidR="00936AF0" w:rsidRPr="009D444B" w:rsidRDefault="00936AF0" w:rsidP="009B3E10">
            <w:pPr>
              <w:suppressAutoHyphens/>
              <w:spacing w:line="256" w:lineRule="auto"/>
              <w:textAlignment w:val="center"/>
              <w:rPr>
                <w:sz w:val="20"/>
                <w:lang w:val="en-GB"/>
              </w:rPr>
            </w:pPr>
          </w:p>
          <w:p w14:paraId="41D28630" w14:textId="77777777" w:rsidR="009B3E10" w:rsidRPr="009D444B" w:rsidRDefault="009B3E10" w:rsidP="009B3E10">
            <w:pPr>
              <w:suppressAutoHyphens/>
              <w:spacing w:line="256" w:lineRule="auto"/>
              <w:textAlignment w:val="center"/>
              <w:rPr>
                <w:sz w:val="20"/>
                <w:lang w:val="en-GB"/>
              </w:rPr>
            </w:pPr>
          </w:p>
          <w:p w14:paraId="6DE6D0D7" w14:textId="73C70D7F" w:rsidR="009B3E10" w:rsidRPr="009D444B" w:rsidRDefault="009B3E10" w:rsidP="009B3E10">
            <w:pPr>
              <w:rPr>
                <w:sz w:val="20"/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589" w14:textId="4003F049" w:rsidR="009B3E10" w:rsidRPr="009D444B" w:rsidRDefault="00954EBF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54F" w14:textId="684D2D58" w:rsidR="009B3E10" w:rsidRPr="009D444B" w:rsidRDefault="00954EBF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997" w14:textId="63B54534" w:rsidR="00636D1E" w:rsidRPr="009D444B" w:rsidRDefault="00BD7185" w:rsidP="009B3E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established “One Stop”</w:t>
            </w:r>
            <w:r w:rsidR="00636D1E" w:rsidRPr="009D444B">
              <w:rPr>
                <w:sz w:val="20"/>
                <w:lang w:val="en-GB"/>
              </w:rPr>
              <w:t xml:space="preserve"> centres are summed up</w:t>
            </w:r>
          </w:p>
          <w:p w14:paraId="48CF196C" w14:textId="136CE191" w:rsidR="009B3E10" w:rsidRPr="009D444B" w:rsidRDefault="009B3E10" w:rsidP="009B3E10">
            <w:pPr>
              <w:rPr>
                <w:color w:val="70AD47" w:themeColor="accent6"/>
                <w:sz w:val="20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E73" w14:textId="06C319EC" w:rsidR="009B3E10" w:rsidRPr="009D444B" w:rsidRDefault="00B62C22" w:rsidP="009B3E10">
            <w:pPr>
              <w:spacing w:line="256" w:lineRule="auto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Primary sources - Project promoter's documents confi</w:t>
            </w:r>
            <w:r w:rsidR="00BD7185">
              <w:rPr>
                <w:sz w:val="20"/>
                <w:lang w:val="en-GB"/>
              </w:rPr>
              <w:t>rming the establishment of the “</w:t>
            </w:r>
            <w:r w:rsidRPr="009D444B">
              <w:rPr>
                <w:sz w:val="20"/>
                <w:lang w:val="en-GB"/>
              </w:rPr>
              <w:t>One Stop</w:t>
            </w:r>
            <w:r w:rsidR="00BD7185">
              <w:rPr>
                <w:sz w:val="20"/>
                <w:lang w:val="en-GB"/>
              </w:rPr>
              <w:t>”</w:t>
            </w:r>
            <w:r w:rsidRPr="009D444B">
              <w:rPr>
                <w:sz w:val="20"/>
                <w:lang w:val="en-GB"/>
              </w:rPr>
              <w:t xml:space="preserve"> centre.</w:t>
            </w:r>
          </w:p>
          <w:p w14:paraId="220D4172" w14:textId="71947A31" w:rsidR="00B62C22" w:rsidRPr="009D444B" w:rsidRDefault="00B62C22" w:rsidP="009B3E10">
            <w:pPr>
              <w:spacing w:line="256" w:lineRule="auto"/>
              <w:rPr>
                <w:sz w:val="20"/>
                <w:lang w:val="en-GB"/>
              </w:rPr>
            </w:pPr>
          </w:p>
          <w:p w14:paraId="4AF4880F" w14:textId="24C611F8" w:rsidR="009B3E10" w:rsidRPr="009D444B" w:rsidRDefault="00B62C22" w:rsidP="00620D04">
            <w:pPr>
              <w:spacing w:line="256" w:lineRule="auto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Project payment requests and project contracts</w:t>
            </w:r>
          </w:p>
        </w:tc>
        <w:tc>
          <w:tcPr>
            <w:tcW w:w="540" w:type="pct"/>
          </w:tcPr>
          <w:p w14:paraId="15A0FFE5" w14:textId="204CD7D8" w:rsidR="009147ED" w:rsidRPr="009D444B" w:rsidRDefault="009147ED" w:rsidP="009147E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measured continuously. </w:t>
            </w:r>
          </w:p>
          <w:p w14:paraId="5C85C137" w14:textId="77777777" w:rsidR="009147ED" w:rsidRPr="009D444B" w:rsidRDefault="009147ED" w:rsidP="009147ED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Data on the achievement of the indicator are collected at least once every six months according to the periodicity of submission of payment requests (PR).</w:t>
            </w:r>
          </w:p>
          <w:p w14:paraId="125250B2" w14:textId="77777777" w:rsidR="009147ED" w:rsidRPr="009D444B" w:rsidRDefault="009147ED" w:rsidP="009147ED">
            <w:pPr>
              <w:rPr>
                <w:sz w:val="20"/>
                <w:lang w:val="en-GB"/>
              </w:rPr>
            </w:pPr>
          </w:p>
          <w:p w14:paraId="22147F31" w14:textId="04F00E61" w:rsidR="009B3E10" w:rsidRPr="009D444B" w:rsidRDefault="009147ED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</w:t>
            </w:r>
            <w:r w:rsidRPr="009D444B">
              <w:rPr>
                <w:sz w:val="20"/>
                <w:lang w:val="en-GB"/>
              </w:rPr>
              <w:lastRenderedPageBreak/>
              <w:t xml:space="preserve">the </w:t>
            </w:r>
            <w:r w:rsidR="005C070A" w:rsidRPr="009D444B">
              <w:rPr>
                <w:sz w:val="20"/>
                <w:lang w:val="en-GB"/>
              </w:rPr>
              <w:t xml:space="preserve">final </w:t>
            </w:r>
            <w:r w:rsidRPr="009D444B">
              <w:rPr>
                <w:sz w:val="20"/>
                <w:lang w:val="en-GB"/>
              </w:rPr>
              <w:t xml:space="preserve">PR of the Project is approved. </w:t>
            </w:r>
          </w:p>
        </w:tc>
        <w:tc>
          <w:tcPr>
            <w:tcW w:w="532" w:type="pct"/>
            <w:gridSpan w:val="2"/>
          </w:tcPr>
          <w:p w14:paraId="0760492E" w14:textId="0FEE6C62" w:rsidR="009B3E10" w:rsidRPr="009D444B" w:rsidRDefault="00D21E61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>Project Promoter</w:t>
            </w:r>
          </w:p>
        </w:tc>
      </w:tr>
      <w:tr w:rsidR="00D7569E" w:rsidRPr="009D444B" w14:paraId="18270C88" w14:textId="77777777" w:rsidTr="00BD7185">
        <w:trPr>
          <w:gridAfter w:val="1"/>
          <w:wAfter w:w="5" w:type="pct"/>
          <w:trHeight w:val="699"/>
        </w:trPr>
        <w:tc>
          <w:tcPr>
            <w:tcW w:w="244" w:type="pct"/>
          </w:tcPr>
          <w:p w14:paraId="3A66F881" w14:textId="5173A15D" w:rsidR="00D7569E" w:rsidRPr="009D444B" w:rsidRDefault="00D7569E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2.</w:t>
            </w:r>
          </w:p>
        </w:tc>
        <w:tc>
          <w:tcPr>
            <w:tcW w:w="565" w:type="pct"/>
          </w:tcPr>
          <w:p w14:paraId="1B583565" w14:textId="22C46753" w:rsidR="00D7569E" w:rsidRPr="009D444B" w:rsidRDefault="00BD1881" w:rsidP="00BD718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of </w:t>
            </w:r>
            <w:r w:rsidR="00BD7185">
              <w:rPr>
                <w:sz w:val="20"/>
                <w:lang w:val="en-GB"/>
              </w:rPr>
              <w:t>staff</w:t>
            </w:r>
            <w:r w:rsidRPr="009D444B">
              <w:rPr>
                <w:sz w:val="20"/>
                <w:lang w:val="en-GB"/>
              </w:rPr>
              <w:t xml:space="preserve"> trained </w:t>
            </w:r>
            <w:r w:rsidR="00BD7185">
              <w:rPr>
                <w:sz w:val="20"/>
                <w:lang w:val="en-GB"/>
              </w:rPr>
              <w:t>in</w:t>
            </w:r>
            <w:r w:rsidRPr="009D444B">
              <w:rPr>
                <w:sz w:val="20"/>
                <w:lang w:val="en-GB"/>
              </w:rPr>
              <w:t xml:space="preserve"> case management </w:t>
            </w:r>
            <w:r w:rsidR="00BD7185">
              <w:rPr>
                <w:sz w:val="20"/>
                <w:lang w:val="en-GB"/>
              </w:rPr>
              <w:t xml:space="preserve">related to work with children and families </w:t>
            </w:r>
          </w:p>
        </w:tc>
        <w:tc>
          <w:tcPr>
            <w:tcW w:w="514" w:type="pct"/>
          </w:tcPr>
          <w:p w14:paraId="220536F0" w14:textId="46744AD9" w:rsidR="00D7569E" w:rsidRPr="009D444B" w:rsidRDefault="00D7569E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776" w14:textId="5490B45B" w:rsidR="00D7569E" w:rsidRPr="009D444B" w:rsidRDefault="006A0674" w:rsidP="009B3E10">
            <w:pPr>
              <w:suppressAutoHyphens/>
              <w:spacing w:line="256" w:lineRule="auto"/>
              <w:textAlignment w:val="center"/>
              <w:rPr>
                <w:sz w:val="20"/>
                <w:lang w:val="en-GB"/>
              </w:rPr>
            </w:pPr>
            <w:r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A professional working with children and families, who is trained to work with case management - who has </w:t>
            </w:r>
            <w:r w:rsidR="006E4366"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completed </w:t>
            </w:r>
            <w:r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>at least 90 percent of the entire training programme and received a certificate.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E48" w14:textId="4079BE35" w:rsidR="00D7569E" w:rsidRPr="009D444B" w:rsidRDefault="00954EBF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D6B" w14:textId="3D402D95" w:rsidR="00D7569E" w:rsidRPr="009D444B" w:rsidRDefault="00954EBF" w:rsidP="009B3E1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A41" w14:textId="67E50FDF" w:rsidR="00D7569E" w:rsidRPr="009D444B" w:rsidRDefault="00636D1E" w:rsidP="00883C02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All employees working with children and families, </w:t>
            </w:r>
            <w:r w:rsidR="006E4366" w:rsidRPr="009D444B">
              <w:rPr>
                <w:sz w:val="20"/>
                <w:lang w:val="en-GB"/>
              </w:rPr>
              <w:t>having completed</w:t>
            </w:r>
            <w:r w:rsidR="006E4366"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at least 90 percent of the entire training programme and received a certificate, are summed up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9BE" w14:textId="100B48B5" w:rsidR="009C2769" w:rsidRPr="009D444B" w:rsidRDefault="009C2769" w:rsidP="009C2769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</w:t>
            </w:r>
            <w:r w:rsidR="00B62C22" w:rsidRPr="009D444B">
              <w:rPr>
                <w:sz w:val="20"/>
                <w:lang w:val="en-GB"/>
              </w:rPr>
              <w:t>rimary sources - lists of training participants and summaries of training participants' certificates</w:t>
            </w:r>
          </w:p>
          <w:p w14:paraId="22FA577D" w14:textId="77777777" w:rsidR="009C2769" w:rsidRPr="009D444B" w:rsidRDefault="009C2769" w:rsidP="009C2769">
            <w:pPr>
              <w:rPr>
                <w:sz w:val="20"/>
                <w:lang w:val="en-GB"/>
              </w:rPr>
            </w:pPr>
          </w:p>
          <w:p w14:paraId="2CAECC25" w14:textId="7429C6E8" w:rsidR="00D7569E" w:rsidRPr="009D444B" w:rsidRDefault="00B62C22" w:rsidP="009C2769">
            <w:pPr>
              <w:spacing w:line="256" w:lineRule="auto"/>
              <w:ind w:right="-102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Project payment requests.</w:t>
            </w:r>
          </w:p>
        </w:tc>
        <w:tc>
          <w:tcPr>
            <w:tcW w:w="540" w:type="pct"/>
          </w:tcPr>
          <w:p w14:paraId="368DAA9E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measured continuously. </w:t>
            </w:r>
          </w:p>
          <w:p w14:paraId="73D736A7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Data on the achievement of the indicator are collected at least once every six months according to the periodicity of submission of payment requests (PR).</w:t>
            </w:r>
          </w:p>
          <w:p w14:paraId="22589AE8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</w:p>
          <w:p w14:paraId="48DA7D16" w14:textId="6D0FCE84" w:rsidR="00D7569E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final PR of the Project is approved. </w:t>
            </w:r>
          </w:p>
        </w:tc>
        <w:tc>
          <w:tcPr>
            <w:tcW w:w="532" w:type="pct"/>
            <w:gridSpan w:val="2"/>
          </w:tcPr>
          <w:p w14:paraId="727FD7C8" w14:textId="223EA172" w:rsidR="00D7569E" w:rsidRPr="009D444B" w:rsidRDefault="00D21E61" w:rsidP="009C2769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Project Promoter</w:t>
            </w:r>
          </w:p>
        </w:tc>
      </w:tr>
      <w:tr w:rsidR="005B2DC8" w:rsidRPr="009D444B" w14:paraId="375596AA" w14:textId="77777777" w:rsidTr="00BD7185">
        <w:trPr>
          <w:gridAfter w:val="1"/>
          <w:wAfter w:w="5" w:type="pct"/>
          <w:trHeight w:val="699"/>
        </w:trPr>
        <w:tc>
          <w:tcPr>
            <w:tcW w:w="244" w:type="pct"/>
          </w:tcPr>
          <w:p w14:paraId="3345B54D" w14:textId="45F1D6A7" w:rsidR="005B2DC8" w:rsidRPr="009D444B" w:rsidRDefault="005B2DC8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3.</w:t>
            </w:r>
          </w:p>
        </w:tc>
        <w:tc>
          <w:tcPr>
            <w:tcW w:w="565" w:type="pct"/>
          </w:tcPr>
          <w:p w14:paraId="14490E30" w14:textId="55A29F1F" w:rsidR="005B2DC8" w:rsidRPr="009D444B" w:rsidRDefault="00BD1881" w:rsidP="00BD7185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of parents who </w:t>
            </w:r>
            <w:r w:rsidR="00BD7185">
              <w:rPr>
                <w:sz w:val="20"/>
                <w:lang w:val="en-GB"/>
              </w:rPr>
              <w:t>received parenting skills training</w:t>
            </w:r>
          </w:p>
        </w:tc>
        <w:tc>
          <w:tcPr>
            <w:tcW w:w="514" w:type="pct"/>
          </w:tcPr>
          <w:p w14:paraId="51B1F84A" w14:textId="235C2BA9" w:rsidR="005B2DC8" w:rsidRPr="009D444B" w:rsidRDefault="005B2DC8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35" w14:textId="05E28016" w:rsidR="005B2DC8" w:rsidRPr="009D444B" w:rsidRDefault="00AC107D" w:rsidP="005B2DC8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Parents having </w:t>
            </w:r>
            <w:r w:rsidR="00883C02"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>attended</w:t>
            </w:r>
            <w:r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individual and/or group classes of parenting skills development (at least 70 percent).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66E" w14:textId="379B63CC" w:rsidR="005B2DC8" w:rsidRPr="009D444B" w:rsidRDefault="00954EBF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</w:t>
            </w:r>
            <w:r w:rsidR="005B2DC8" w:rsidRPr="009D444B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B13" w14:textId="3EBFEC8D" w:rsidR="005B2DC8" w:rsidRPr="009D444B" w:rsidRDefault="00954EBF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616" w14:textId="3B502769" w:rsidR="00883C02" w:rsidRPr="009D444B" w:rsidRDefault="00883C02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All parents, having </w:t>
            </w:r>
            <w:r w:rsidR="0051523F"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>attended</w:t>
            </w:r>
            <w:r w:rsidR="008825DA" w:rsidRPr="009D444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</w:t>
            </w:r>
            <w:r w:rsidR="0051523F" w:rsidRPr="009D444B">
              <w:rPr>
                <w:sz w:val="20"/>
                <w:lang w:val="en-GB"/>
              </w:rPr>
              <w:t>at least 70 percent of all parenting skills development classes intended for them, are summed up</w:t>
            </w:r>
            <w:r w:rsidR="008825DA" w:rsidRPr="009D444B">
              <w:rPr>
                <w:sz w:val="20"/>
                <w:lang w:val="en-GB"/>
              </w:rPr>
              <w:t xml:space="preserve">. </w:t>
            </w:r>
          </w:p>
          <w:p w14:paraId="48D8DBD2" w14:textId="5EAF00B8" w:rsidR="005B2DC8" w:rsidRPr="009D444B" w:rsidRDefault="005B2DC8" w:rsidP="005B2DC8">
            <w:pPr>
              <w:rPr>
                <w:sz w:val="20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2C9" w14:textId="523FA216" w:rsidR="005B2DC8" w:rsidRPr="009D444B" w:rsidRDefault="00B62C22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Primary sources - lists of participants of classes.</w:t>
            </w:r>
          </w:p>
          <w:p w14:paraId="6BAFB117" w14:textId="4E29A33C" w:rsidR="00B62C22" w:rsidRPr="009D444B" w:rsidRDefault="00B62C22" w:rsidP="005B2DC8">
            <w:pPr>
              <w:rPr>
                <w:sz w:val="20"/>
                <w:lang w:val="en-GB"/>
              </w:rPr>
            </w:pPr>
          </w:p>
          <w:p w14:paraId="2E681395" w14:textId="77777777" w:rsidR="00B62C22" w:rsidRPr="009D444B" w:rsidRDefault="00B62C22" w:rsidP="005B2DC8">
            <w:pPr>
              <w:rPr>
                <w:sz w:val="20"/>
                <w:lang w:val="en-GB"/>
              </w:rPr>
            </w:pPr>
          </w:p>
          <w:p w14:paraId="4275F1EA" w14:textId="55057967" w:rsidR="005B2DC8" w:rsidRPr="009D444B" w:rsidRDefault="00B62C22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Project payment requests.</w:t>
            </w:r>
          </w:p>
        </w:tc>
        <w:tc>
          <w:tcPr>
            <w:tcW w:w="540" w:type="pct"/>
          </w:tcPr>
          <w:p w14:paraId="406AD4C5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measured continuously. </w:t>
            </w:r>
          </w:p>
          <w:p w14:paraId="5D715E16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Data on the achievement of the indicator are collected at least once every six months according to the periodicity of submission of payment requests (PR).</w:t>
            </w:r>
          </w:p>
          <w:p w14:paraId="613347A2" w14:textId="77777777" w:rsidR="005C070A" w:rsidRPr="009D444B" w:rsidRDefault="005C070A" w:rsidP="005C070A">
            <w:pPr>
              <w:rPr>
                <w:sz w:val="20"/>
                <w:lang w:val="en-GB"/>
              </w:rPr>
            </w:pPr>
          </w:p>
          <w:p w14:paraId="41CE63B1" w14:textId="0750034C" w:rsidR="005B2DC8" w:rsidRPr="009D444B" w:rsidRDefault="005C070A" w:rsidP="005C070A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final PR of </w:t>
            </w:r>
            <w:r w:rsidRPr="009D444B">
              <w:rPr>
                <w:sz w:val="20"/>
                <w:lang w:val="en-GB"/>
              </w:rPr>
              <w:lastRenderedPageBreak/>
              <w:t>the Project is approved.</w:t>
            </w:r>
          </w:p>
        </w:tc>
        <w:tc>
          <w:tcPr>
            <w:tcW w:w="532" w:type="pct"/>
            <w:gridSpan w:val="2"/>
          </w:tcPr>
          <w:p w14:paraId="25D3544B" w14:textId="2354C3FD" w:rsidR="005B2DC8" w:rsidRPr="009D444B" w:rsidRDefault="00D21E61" w:rsidP="005B2DC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>Project Promoter</w:t>
            </w:r>
          </w:p>
        </w:tc>
      </w:tr>
    </w:tbl>
    <w:p w14:paraId="6B9BD85E" w14:textId="4F34CA58" w:rsidR="00A86AE8" w:rsidRPr="009D444B" w:rsidRDefault="00A86AE8">
      <w:pPr>
        <w:rPr>
          <w:lang w:val="en-GB"/>
        </w:rPr>
      </w:pPr>
    </w:p>
    <w:sdt>
      <w:sdtPr>
        <w:rPr>
          <w:lang w:val="en-GB"/>
        </w:rPr>
        <w:alias w:val="Pavadinimas"/>
        <w:tag w:val="title_24128f9328ad400981b5a08f1c6dba4d"/>
        <w:id w:val="848454971"/>
      </w:sdtPr>
      <w:sdtEndPr/>
      <w:sdtContent>
        <w:p w14:paraId="672A8D72" w14:textId="77777777" w:rsidR="00AC3CA7" w:rsidRPr="009D444B" w:rsidRDefault="00065FDE" w:rsidP="00AC3CA7">
          <w:pPr>
            <w:jc w:val="center"/>
            <w:rPr>
              <w:b/>
              <w:bCs/>
              <w:color w:val="000000"/>
              <w:lang w:val="en-GB"/>
            </w:rPr>
          </w:pPr>
          <w:sdt>
            <w:sdtPr>
              <w:rPr>
                <w:lang w:val="en-GB"/>
              </w:rPr>
              <w:alias w:val="Pavadinimas"/>
              <w:tag w:val="title_24128f9328ad400981b5a08f1c6dba4d"/>
              <w:id w:val="-54012899"/>
            </w:sdtPr>
            <w:sdtEndPr/>
            <w:sdtContent>
              <w:r w:rsidR="00AC3CA7" w:rsidRPr="009D444B">
                <w:rPr>
                  <w:b/>
                  <w:bCs/>
                  <w:color w:val="000000"/>
                  <w:lang w:val="en-GB"/>
                </w:rPr>
                <w:t>METHODOLOGY FOR CALCULATING INDICATORS FOR MONITORING THE IMPLEMENTATION OF BILATERAL COOPERATION</w:t>
              </w:r>
            </w:sdtContent>
          </w:sdt>
        </w:p>
        <w:p w14:paraId="1699EB96" w14:textId="6681312B" w:rsidR="006635E7" w:rsidRPr="009D444B" w:rsidRDefault="00065FDE" w:rsidP="006635E7">
          <w:pPr>
            <w:jc w:val="center"/>
            <w:rPr>
              <w:b/>
              <w:bCs/>
              <w:color w:val="000000"/>
              <w:lang w:val="en-GB"/>
            </w:rPr>
          </w:pPr>
        </w:p>
      </w:sdtContent>
    </w:sdt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1"/>
        <w:gridCol w:w="1419"/>
        <w:gridCol w:w="1986"/>
        <w:gridCol w:w="1396"/>
        <w:gridCol w:w="1677"/>
        <w:gridCol w:w="1396"/>
        <w:gridCol w:w="1529"/>
        <w:gridCol w:w="1260"/>
        <w:gridCol w:w="1385"/>
      </w:tblGrid>
      <w:tr w:rsidR="007954FD" w:rsidRPr="009D444B" w14:paraId="62C88A60" w14:textId="77777777" w:rsidTr="007954FD">
        <w:trPr>
          <w:trHeight w:val="907"/>
        </w:trPr>
        <w:tc>
          <w:tcPr>
            <w:tcW w:w="244" w:type="pct"/>
            <w:vAlign w:val="center"/>
          </w:tcPr>
          <w:p w14:paraId="29EF9463" w14:textId="422BD96B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Indicator No</w:t>
            </w:r>
          </w:p>
        </w:tc>
        <w:tc>
          <w:tcPr>
            <w:tcW w:w="588" w:type="pct"/>
            <w:vAlign w:val="center"/>
          </w:tcPr>
          <w:p w14:paraId="2740A534" w14:textId="2E56632C" w:rsidR="007954FD" w:rsidRPr="009D444B" w:rsidRDefault="007954FD" w:rsidP="007954FD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Name</w:t>
            </w:r>
          </w:p>
          <w:p w14:paraId="484046C5" w14:textId="77777777" w:rsidR="007954FD" w:rsidRPr="009D444B" w:rsidRDefault="007954FD" w:rsidP="007954FD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91" w:type="pct"/>
            <w:vAlign w:val="center"/>
          </w:tcPr>
          <w:p w14:paraId="64E7C084" w14:textId="78D753C1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Target value </w:t>
            </w:r>
          </w:p>
        </w:tc>
        <w:tc>
          <w:tcPr>
            <w:tcW w:w="687" w:type="pct"/>
            <w:vAlign w:val="center"/>
          </w:tcPr>
          <w:p w14:paraId="63C37656" w14:textId="0EE42E62" w:rsidR="007954FD" w:rsidRPr="009D444B" w:rsidRDefault="007954FD" w:rsidP="007954FD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Explanation of the indicator</w:t>
            </w:r>
            <w:r w:rsidRPr="009D444B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511" w:type="pct"/>
            <w:gridSpan w:val="5"/>
            <w:vAlign w:val="center"/>
          </w:tcPr>
          <w:p w14:paraId="5C9F9BC1" w14:textId="74F95FBA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479" w:type="pct"/>
            <w:vAlign w:val="center"/>
          </w:tcPr>
          <w:p w14:paraId="72272522" w14:textId="46890268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Authority responsible for providing information to the CPMA</w:t>
            </w:r>
          </w:p>
        </w:tc>
      </w:tr>
      <w:tr w:rsidR="007954FD" w:rsidRPr="009D444B" w14:paraId="24BB4F61" w14:textId="77777777" w:rsidTr="007954FD">
        <w:trPr>
          <w:trHeight w:val="567"/>
        </w:trPr>
        <w:tc>
          <w:tcPr>
            <w:tcW w:w="244" w:type="pct"/>
            <w:vAlign w:val="center"/>
          </w:tcPr>
          <w:p w14:paraId="42717CFC" w14:textId="77777777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88" w:type="pct"/>
            <w:vAlign w:val="center"/>
          </w:tcPr>
          <w:p w14:paraId="16D4AFE8" w14:textId="77777777" w:rsidR="007954FD" w:rsidRPr="009D444B" w:rsidRDefault="007954FD" w:rsidP="007954FD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91" w:type="pct"/>
          </w:tcPr>
          <w:p w14:paraId="786D2162" w14:textId="77777777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87" w:type="pct"/>
            <w:vAlign w:val="center"/>
          </w:tcPr>
          <w:p w14:paraId="0DA69F18" w14:textId="77777777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3" w:type="pct"/>
            <w:vAlign w:val="center"/>
          </w:tcPr>
          <w:p w14:paraId="4C32242D" w14:textId="327E6D58" w:rsidR="007954FD" w:rsidRPr="009D444B" w:rsidRDefault="007954FD" w:rsidP="007954FD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80" w:type="pct"/>
            <w:vAlign w:val="center"/>
          </w:tcPr>
          <w:p w14:paraId="3AA29EA0" w14:textId="20578980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483" w:type="pct"/>
            <w:vAlign w:val="center"/>
          </w:tcPr>
          <w:p w14:paraId="0BAC3685" w14:textId="7205FD33" w:rsidR="007954FD" w:rsidRPr="009D444B" w:rsidRDefault="007954FD" w:rsidP="007954FD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529" w:type="pct"/>
            <w:vAlign w:val="center"/>
          </w:tcPr>
          <w:p w14:paraId="68B45059" w14:textId="340A984F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Information source</w:t>
            </w:r>
          </w:p>
        </w:tc>
        <w:tc>
          <w:tcPr>
            <w:tcW w:w="436" w:type="pct"/>
            <w:vAlign w:val="center"/>
          </w:tcPr>
          <w:p w14:paraId="687B63D6" w14:textId="3394C9E0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Time </w:t>
            </w:r>
          </w:p>
        </w:tc>
        <w:tc>
          <w:tcPr>
            <w:tcW w:w="479" w:type="pct"/>
            <w:vAlign w:val="center"/>
          </w:tcPr>
          <w:p w14:paraId="60B1EC18" w14:textId="77777777" w:rsidR="007954FD" w:rsidRPr="009D444B" w:rsidRDefault="007954FD" w:rsidP="007954FD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AB07A0" w:rsidRPr="009D444B" w14:paraId="3DA042D8" w14:textId="77777777" w:rsidTr="00EE1817">
        <w:trPr>
          <w:trHeight w:val="433"/>
        </w:trPr>
        <w:tc>
          <w:tcPr>
            <w:tcW w:w="5000" w:type="pct"/>
            <w:gridSpan w:val="10"/>
            <w:vAlign w:val="center"/>
          </w:tcPr>
          <w:p w14:paraId="6A1EE0BB" w14:textId="4618FB28" w:rsidR="00AB07A0" w:rsidRPr="009D444B" w:rsidRDefault="00661326" w:rsidP="0099757B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Bilateral outcome indicator</w:t>
            </w:r>
            <w:r w:rsidR="00F642AB" w:rsidRPr="009D444B">
              <w:rPr>
                <w:b/>
                <w:bCs/>
                <w:sz w:val="20"/>
                <w:lang w:val="en-GB"/>
              </w:rPr>
              <w:t xml:space="preserve"> </w:t>
            </w:r>
          </w:p>
        </w:tc>
      </w:tr>
      <w:tr w:rsidR="00203397" w:rsidRPr="009D444B" w14:paraId="21CC968B" w14:textId="77777777" w:rsidTr="007954FD">
        <w:trPr>
          <w:trHeight w:val="567"/>
        </w:trPr>
        <w:tc>
          <w:tcPr>
            <w:tcW w:w="244" w:type="pct"/>
          </w:tcPr>
          <w:p w14:paraId="67B31B64" w14:textId="47D8DF36" w:rsidR="00203397" w:rsidRPr="009D444B" w:rsidRDefault="00203397" w:rsidP="00203397">
            <w:pPr>
              <w:jc w:val="center"/>
              <w:rPr>
                <w:bCs/>
                <w:sz w:val="20"/>
                <w:lang w:val="en-GB"/>
              </w:rPr>
            </w:pPr>
            <w:r w:rsidRPr="009D444B">
              <w:rPr>
                <w:bCs/>
                <w:sz w:val="20"/>
                <w:lang w:val="en-GB"/>
              </w:rPr>
              <w:t>1.</w:t>
            </w:r>
          </w:p>
        </w:tc>
        <w:tc>
          <w:tcPr>
            <w:tcW w:w="588" w:type="pct"/>
          </w:tcPr>
          <w:p w14:paraId="5D2EC409" w14:textId="18EB795D" w:rsidR="00203397" w:rsidRPr="009D444B" w:rsidRDefault="00203397" w:rsidP="00203397">
            <w:pPr>
              <w:ind w:left="34" w:hanging="34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Level of satisfaction with the partnership </w:t>
            </w:r>
            <w:r w:rsidR="00661326">
              <w:rPr>
                <w:sz w:val="20"/>
                <w:lang w:val="en-GB"/>
              </w:rPr>
              <w:t>(disaggregated by State type)</w:t>
            </w:r>
          </w:p>
        </w:tc>
        <w:tc>
          <w:tcPr>
            <w:tcW w:w="491" w:type="pct"/>
          </w:tcPr>
          <w:p w14:paraId="66237F02" w14:textId="12EEBE77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At least 4.5 and a positive change in baseline</w:t>
            </w:r>
          </w:p>
        </w:tc>
        <w:tc>
          <w:tcPr>
            <w:tcW w:w="687" w:type="pct"/>
          </w:tcPr>
          <w:p w14:paraId="7ACC6596" w14:textId="77777777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3" w:type="pct"/>
          </w:tcPr>
          <w:p w14:paraId="0E6220FC" w14:textId="51991591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Scale from 1 to 7</w:t>
            </w:r>
          </w:p>
        </w:tc>
        <w:tc>
          <w:tcPr>
            <w:tcW w:w="580" w:type="pct"/>
          </w:tcPr>
          <w:p w14:paraId="65980FD4" w14:textId="402638EF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15A41F45" w14:textId="07DB8F96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29" w:type="pct"/>
          </w:tcPr>
          <w:p w14:paraId="54505915" w14:textId="70467530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Primary sources - </w:t>
            </w:r>
            <w:r w:rsidR="00661326">
              <w:rPr>
                <w:sz w:val="20"/>
                <w:lang w:val="en-GB"/>
              </w:rPr>
              <w:t>Survey conducted on behalf of the Financial Mechanism Office</w:t>
            </w:r>
          </w:p>
        </w:tc>
        <w:tc>
          <w:tcPr>
            <w:tcW w:w="436" w:type="pct"/>
          </w:tcPr>
          <w:p w14:paraId="29764B41" w14:textId="57741C68" w:rsidR="00203397" w:rsidRPr="009D444B" w:rsidRDefault="00661326" w:rsidP="00203397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479" w:type="pct"/>
          </w:tcPr>
          <w:p w14:paraId="3A31C12C" w14:textId="53F0E403" w:rsidR="00203397" w:rsidRPr="009D444B" w:rsidRDefault="00661326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FMO</w:t>
            </w:r>
          </w:p>
        </w:tc>
      </w:tr>
      <w:tr w:rsidR="00203397" w:rsidRPr="009D444B" w14:paraId="54E24CBA" w14:textId="77777777" w:rsidTr="007954FD">
        <w:trPr>
          <w:trHeight w:val="567"/>
        </w:trPr>
        <w:tc>
          <w:tcPr>
            <w:tcW w:w="244" w:type="pct"/>
          </w:tcPr>
          <w:p w14:paraId="50026677" w14:textId="32F0C271" w:rsidR="00203397" w:rsidRPr="009D444B" w:rsidRDefault="00203397" w:rsidP="00203397">
            <w:pPr>
              <w:jc w:val="center"/>
              <w:rPr>
                <w:bCs/>
                <w:sz w:val="20"/>
                <w:lang w:val="en-GB"/>
              </w:rPr>
            </w:pPr>
            <w:r w:rsidRPr="009D444B">
              <w:rPr>
                <w:bCs/>
                <w:sz w:val="20"/>
                <w:lang w:val="en-GB"/>
              </w:rPr>
              <w:t>2.</w:t>
            </w:r>
          </w:p>
        </w:tc>
        <w:tc>
          <w:tcPr>
            <w:tcW w:w="588" w:type="pct"/>
          </w:tcPr>
          <w:p w14:paraId="0721BF52" w14:textId="0B64C05A" w:rsidR="00203397" w:rsidRPr="009D444B" w:rsidRDefault="00203397" w:rsidP="00203397">
            <w:pPr>
              <w:ind w:left="34" w:hanging="34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Level of trust between entities of donor countries and entities of recipient countries  (broken down by a country type)</w:t>
            </w:r>
          </w:p>
        </w:tc>
        <w:tc>
          <w:tcPr>
            <w:tcW w:w="491" w:type="pct"/>
          </w:tcPr>
          <w:p w14:paraId="34B56955" w14:textId="6149613A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At least 4.5 and a positive change in baseline</w:t>
            </w:r>
          </w:p>
        </w:tc>
        <w:tc>
          <w:tcPr>
            <w:tcW w:w="687" w:type="pct"/>
          </w:tcPr>
          <w:p w14:paraId="2E96B2BA" w14:textId="77777777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3" w:type="pct"/>
          </w:tcPr>
          <w:p w14:paraId="66536308" w14:textId="5C1ABEED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Scale from 1 to 7</w:t>
            </w:r>
          </w:p>
        </w:tc>
        <w:tc>
          <w:tcPr>
            <w:tcW w:w="580" w:type="pct"/>
          </w:tcPr>
          <w:p w14:paraId="280B2577" w14:textId="11A0CE7C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4EA90DDD" w14:textId="26E241A5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29" w:type="pct"/>
          </w:tcPr>
          <w:p w14:paraId="4685A3A3" w14:textId="3C4260E2" w:rsidR="00203397" w:rsidRPr="009D444B" w:rsidRDefault="00203397" w:rsidP="00661326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Primary sources - </w:t>
            </w:r>
            <w:r w:rsidR="00661326">
              <w:rPr>
                <w:sz w:val="20"/>
                <w:lang w:val="en-GB"/>
              </w:rPr>
              <w:t>Survey conducted on behalf of the Financial Mechanism Office</w:t>
            </w:r>
          </w:p>
        </w:tc>
        <w:tc>
          <w:tcPr>
            <w:tcW w:w="436" w:type="pct"/>
          </w:tcPr>
          <w:p w14:paraId="0FE38194" w14:textId="604387F5" w:rsidR="00203397" w:rsidRPr="009D444B" w:rsidRDefault="00661326" w:rsidP="00203397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479" w:type="pct"/>
          </w:tcPr>
          <w:p w14:paraId="25EECAAE" w14:textId="3F2167C0" w:rsidR="00203397" w:rsidRPr="009D444B" w:rsidRDefault="00661326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FMO</w:t>
            </w:r>
          </w:p>
        </w:tc>
      </w:tr>
      <w:tr w:rsidR="00203397" w:rsidRPr="009D444B" w14:paraId="1CEFA4C4" w14:textId="77777777" w:rsidTr="007954FD">
        <w:trPr>
          <w:trHeight w:val="567"/>
        </w:trPr>
        <w:tc>
          <w:tcPr>
            <w:tcW w:w="244" w:type="pct"/>
          </w:tcPr>
          <w:p w14:paraId="19522C5F" w14:textId="0BA02DC0" w:rsidR="00203397" w:rsidRPr="009D444B" w:rsidRDefault="00203397" w:rsidP="00203397">
            <w:pPr>
              <w:jc w:val="center"/>
              <w:rPr>
                <w:bCs/>
                <w:sz w:val="20"/>
                <w:lang w:val="en-GB"/>
              </w:rPr>
            </w:pPr>
            <w:r w:rsidRPr="009D444B">
              <w:rPr>
                <w:bCs/>
                <w:sz w:val="20"/>
                <w:lang w:val="en-GB"/>
              </w:rPr>
              <w:t>3.</w:t>
            </w:r>
          </w:p>
        </w:tc>
        <w:tc>
          <w:tcPr>
            <w:tcW w:w="588" w:type="pct"/>
          </w:tcPr>
          <w:p w14:paraId="007CFF40" w14:textId="48789B5F" w:rsidR="00203397" w:rsidRPr="009D444B" w:rsidRDefault="00875535" w:rsidP="00203397">
            <w:pPr>
              <w:ind w:left="34" w:hanging="34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Share </w:t>
            </w:r>
            <w:r w:rsidR="00203397" w:rsidRPr="009D444B">
              <w:rPr>
                <w:sz w:val="20"/>
                <w:lang w:val="en-GB"/>
              </w:rPr>
              <w:t>of cooperating organizations applying the knowledge gained in the partnership</w:t>
            </w:r>
          </w:p>
        </w:tc>
        <w:tc>
          <w:tcPr>
            <w:tcW w:w="491" w:type="pct"/>
          </w:tcPr>
          <w:p w14:paraId="5658D958" w14:textId="4E6E3F09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50%</w:t>
            </w:r>
          </w:p>
        </w:tc>
        <w:tc>
          <w:tcPr>
            <w:tcW w:w="687" w:type="pct"/>
          </w:tcPr>
          <w:p w14:paraId="2996ED6C" w14:textId="77777777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3" w:type="pct"/>
          </w:tcPr>
          <w:p w14:paraId="1E1F0F1E" w14:textId="2AC8E7DE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Percent </w:t>
            </w:r>
          </w:p>
        </w:tc>
        <w:tc>
          <w:tcPr>
            <w:tcW w:w="580" w:type="pct"/>
          </w:tcPr>
          <w:p w14:paraId="2893C54C" w14:textId="5E712ABA" w:rsidR="00203397" w:rsidRPr="009D444B" w:rsidRDefault="00203397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4804AE74" w14:textId="182EE968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29" w:type="pct"/>
          </w:tcPr>
          <w:p w14:paraId="76A57AAB" w14:textId="5968C32C" w:rsidR="00203397" w:rsidRPr="009D444B" w:rsidRDefault="00203397" w:rsidP="0020339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Primary sources - </w:t>
            </w:r>
            <w:r w:rsidR="00661326">
              <w:rPr>
                <w:sz w:val="20"/>
                <w:lang w:val="en-GB"/>
              </w:rPr>
              <w:t>Survey conducted on behalf of the Financial Mechanism Office</w:t>
            </w:r>
          </w:p>
        </w:tc>
        <w:tc>
          <w:tcPr>
            <w:tcW w:w="436" w:type="pct"/>
          </w:tcPr>
          <w:p w14:paraId="455FECDB" w14:textId="15A933A2" w:rsidR="00203397" w:rsidRPr="009D444B" w:rsidRDefault="00661326" w:rsidP="00203397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479" w:type="pct"/>
          </w:tcPr>
          <w:p w14:paraId="0C0E556B" w14:textId="11F76B0E" w:rsidR="00203397" w:rsidRPr="009D444B" w:rsidRDefault="00661326" w:rsidP="00203397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FMO</w:t>
            </w:r>
          </w:p>
        </w:tc>
      </w:tr>
      <w:tr w:rsidR="006635E7" w:rsidRPr="009D444B" w14:paraId="2FE993D9" w14:textId="77777777" w:rsidTr="00EE1817">
        <w:trPr>
          <w:trHeight w:val="470"/>
        </w:trPr>
        <w:tc>
          <w:tcPr>
            <w:tcW w:w="5000" w:type="pct"/>
            <w:gridSpan w:val="10"/>
            <w:vAlign w:val="center"/>
          </w:tcPr>
          <w:p w14:paraId="30C926FD" w14:textId="6AA5E05B" w:rsidR="006635E7" w:rsidRPr="009D444B" w:rsidRDefault="00A17AD0" w:rsidP="00ED4C1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Bilateral output</w:t>
            </w:r>
            <w:r w:rsidR="003159AC" w:rsidRPr="009D444B">
              <w:rPr>
                <w:b/>
                <w:sz w:val="20"/>
                <w:lang w:val="en-GB"/>
              </w:rPr>
              <w:t xml:space="preserve"> indicators </w:t>
            </w:r>
          </w:p>
        </w:tc>
      </w:tr>
      <w:tr w:rsidR="00F953C4" w:rsidRPr="009D444B" w14:paraId="028C550E" w14:textId="77777777" w:rsidTr="007954FD">
        <w:tc>
          <w:tcPr>
            <w:tcW w:w="244" w:type="pct"/>
          </w:tcPr>
          <w:p w14:paraId="0007863D" w14:textId="7A3C1DD3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1.</w:t>
            </w:r>
          </w:p>
        </w:tc>
        <w:tc>
          <w:tcPr>
            <w:tcW w:w="588" w:type="pct"/>
          </w:tcPr>
          <w:p w14:paraId="3BB58FAD" w14:textId="4980A4FD" w:rsidR="00F953C4" w:rsidRPr="009D444B" w:rsidRDefault="00E55908" w:rsidP="00F953C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 of participants from Beneficiary States </w:t>
            </w:r>
            <w:r>
              <w:rPr>
                <w:sz w:val="20"/>
                <w:lang w:val="en-GB"/>
              </w:rPr>
              <w:lastRenderedPageBreak/>
              <w:t>in exchanges (disaggregated by gender, Donor State)</w:t>
            </w:r>
          </w:p>
        </w:tc>
        <w:tc>
          <w:tcPr>
            <w:tcW w:w="491" w:type="pct"/>
          </w:tcPr>
          <w:p w14:paraId="3F55BE8F" w14:textId="684BC326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>20</w:t>
            </w:r>
          </w:p>
        </w:tc>
        <w:tc>
          <w:tcPr>
            <w:tcW w:w="687" w:type="pct"/>
          </w:tcPr>
          <w:p w14:paraId="194CB444" w14:textId="77777777" w:rsidR="0094431D" w:rsidRPr="0094431D" w:rsidRDefault="0094431D" w:rsidP="0094431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For exchanges taking place as physical </w:t>
            </w:r>
            <w:proofErr w:type="spellStart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mobilities</w:t>
            </w:r>
            <w:proofErr w:type="spellEnd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, the </w:t>
            </w:r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lastRenderedPageBreak/>
              <w:t>duration should be at least two working days to be</w:t>
            </w:r>
          </w:p>
          <w:p w14:paraId="2EAC5A03" w14:textId="7F5443FB" w:rsidR="0094431D" w:rsidRDefault="0094431D" w:rsidP="0094431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proofErr w:type="gramStart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considered</w:t>
            </w:r>
            <w:proofErr w:type="gramEnd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as an “exchange”. “Participants” are those who completed such programmes/</w:t>
            </w:r>
            <w:r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</w:t>
            </w:r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activities.</w:t>
            </w:r>
          </w:p>
          <w:p w14:paraId="5EC0E0FA" w14:textId="77777777" w:rsidR="00914DEB" w:rsidRPr="0094431D" w:rsidRDefault="00914DEB" w:rsidP="0094431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  <w:p w14:paraId="722BA0F7" w14:textId="4185813D" w:rsidR="0094431D" w:rsidRPr="0094431D" w:rsidRDefault="0094431D" w:rsidP="0094431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For exchanges taking place online, the total combined duration of a set of activities should be at least 8 hours to</w:t>
            </w:r>
            <w:r w:rsidR="00914DEB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</w:t>
            </w:r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be considered as an “exchange”. </w:t>
            </w:r>
            <w:bookmarkStart w:id="0" w:name="_GoBack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The individual activities considered under one exchange can be spread over</w:t>
            </w:r>
          </w:p>
          <w:p w14:paraId="577C4BD7" w14:textId="0ECB24C3" w:rsidR="00F953C4" w:rsidRPr="009D444B" w:rsidRDefault="0094431D" w:rsidP="0094431D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proofErr w:type="gramStart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>several</w:t>
            </w:r>
            <w:proofErr w:type="gramEnd"/>
            <w:r w:rsidRPr="0094431D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days.</w:t>
            </w:r>
            <w:bookmarkEnd w:id="0"/>
          </w:p>
        </w:tc>
        <w:tc>
          <w:tcPr>
            <w:tcW w:w="483" w:type="pct"/>
          </w:tcPr>
          <w:p w14:paraId="5676536B" w14:textId="7AA6FFC5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Number </w:t>
            </w:r>
          </w:p>
        </w:tc>
        <w:tc>
          <w:tcPr>
            <w:tcW w:w="580" w:type="pct"/>
          </w:tcPr>
          <w:p w14:paraId="146B0152" w14:textId="356F49AA" w:rsidR="00F953C4" w:rsidRPr="009D444B" w:rsidRDefault="00F953C4" w:rsidP="00F953C4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681E6B45" w14:textId="4419D581" w:rsidR="00F953C4" w:rsidRPr="009D444B" w:rsidRDefault="00E55908" w:rsidP="00F953C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employees from B</w:t>
            </w:r>
            <w:r w:rsidR="00F953C4" w:rsidRPr="009D444B">
              <w:rPr>
                <w:sz w:val="20"/>
                <w:lang w:val="en-GB"/>
              </w:rPr>
              <w:t xml:space="preserve">eneficiary </w:t>
            </w:r>
            <w:r w:rsidR="00F953C4" w:rsidRPr="009D444B">
              <w:rPr>
                <w:sz w:val="20"/>
                <w:lang w:val="en-GB"/>
              </w:rPr>
              <w:lastRenderedPageBreak/>
              <w:t xml:space="preserve">countries participating in the exchange are counted </w:t>
            </w:r>
          </w:p>
        </w:tc>
        <w:tc>
          <w:tcPr>
            <w:tcW w:w="529" w:type="pct"/>
          </w:tcPr>
          <w:p w14:paraId="6EFC6FB6" w14:textId="317526BA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Primary sources - documents of the Project </w:t>
            </w:r>
            <w:r w:rsidR="00E55908">
              <w:rPr>
                <w:sz w:val="20"/>
                <w:lang w:val="en-GB"/>
              </w:rPr>
              <w:lastRenderedPageBreak/>
              <w:t>P</w:t>
            </w:r>
            <w:r w:rsidRPr="009D444B">
              <w:rPr>
                <w:sz w:val="20"/>
                <w:lang w:val="en-GB"/>
              </w:rPr>
              <w:t>romoter and / or partners (for example, lists of participants, business trip orders, etc.)</w:t>
            </w:r>
          </w:p>
          <w:p w14:paraId="65569DE3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</w:p>
          <w:p w14:paraId="72063704" w14:textId="46F40892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payment requests</w:t>
            </w:r>
          </w:p>
        </w:tc>
        <w:tc>
          <w:tcPr>
            <w:tcW w:w="436" w:type="pct"/>
          </w:tcPr>
          <w:p w14:paraId="6A53C706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Data on the achievement of the </w:t>
            </w:r>
            <w:r w:rsidRPr="009D444B">
              <w:rPr>
                <w:sz w:val="20"/>
                <w:lang w:val="en-GB"/>
              </w:rPr>
              <w:lastRenderedPageBreak/>
              <w:t xml:space="preserve">indicator are collected at least once every six months according to the periodicity of submission of payment requests (PR). </w:t>
            </w:r>
          </w:p>
          <w:p w14:paraId="2B072984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</w:p>
          <w:p w14:paraId="73798571" w14:textId="4CD07BDA" w:rsidR="00F953C4" w:rsidRPr="009D444B" w:rsidRDefault="00F953C4" w:rsidP="00F953C4">
            <w:pPr>
              <w:ind w:right="72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final PR of the Project is approved. </w:t>
            </w:r>
          </w:p>
        </w:tc>
        <w:tc>
          <w:tcPr>
            <w:tcW w:w="479" w:type="pct"/>
          </w:tcPr>
          <w:p w14:paraId="18013CF6" w14:textId="0EE445B2" w:rsidR="00F953C4" w:rsidRPr="009D444B" w:rsidRDefault="00351AF0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Project Promoter </w:t>
            </w:r>
          </w:p>
        </w:tc>
      </w:tr>
      <w:tr w:rsidR="00F953C4" w:rsidRPr="009D444B" w14:paraId="444F86FB" w14:textId="77777777" w:rsidTr="007954FD">
        <w:trPr>
          <w:trHeight w:val="710"/>
        </w:trPr>
        <w:tc>
          <w:tcPr>
            <w:tcW w:w="244" w:type="pct"/>
          </w:tcPr>
          <w:p w14:paraId="5CA7A997" w14:textId="5EBAFA1E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2.</w:t>
            </w:r>
          </w:p>
        </w:tc>
        <w:tc>
          <w:tcPr>
            <w:tcW w:w="588" w:type="pct"/>
          </w:tcPr>
          <w:p w14:paraId="51A9B7B1" w14:textId="2C8DB5C5" w:rsidR="00E55908" w:rsidRDefault="00E55908" w:rsidP="00E5590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participants from Donor States in exchanges (disaggregated by gender, Donor State</w:t>
            </w:r>
            <w:r w:rsidR="0033428E">
              <w:rPr>
                <w:sz w:val="20"/>
                <w:lang w:val="en-GB"/>
              </w:rPr>
              <w:t>,</w:t>
            </w:r>
            <w:r w:rsidR="0033428E" w:rsidRPr="0033428E">
              <w:rPr>
                <w:sz w:val="20"/>
                <w:lang w:val="en-GB"/>
              </w:rPr>
              <w:t xml:space="preserve"> type of exchange – physical or virtual</w:t>
            </w:r>
            <w:r>
              <w:rPr>
                <w:sz w:val="20"/>
                <w:lang w:val="en-GB"/>
              </w:rPr>
              <w:t>)</w:t>
            </w:r>
          </w:p>
          <w:p w14:paraId="2721E5D8" w14:textId="76713543" w:rsidR="00F953C4" w:rsidRPr="009D444B" w:rsidRDefault="00F953C4" w:rsidP="00F953C4">
            <w:pPr>
              <w:rPr>
                <w:sz w:val="20"/>
                <w:lang w:val="en-GB"/>
              </w:rPr>
            </w:pPr>
          </w:p>
        </w:tc>
        <w:tc>
          <w:tcPr>
            <w:tcW w:w="491" w:type="pct"/>
          </w:tcPr>
          <w:p w14:paraId="5A7B4DBC" w14:textId="609BB5B4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12</w:t>
            </w:r>
          </w:p>
          <w:p w14:paraId="4761FCF6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</w:p>
          <w:p w14:paraId="15325724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</w:p>
        </w:tc>
        <w:tc>
          <w:tcPr>
            <w:tcW w:w="687" w:type="pct"/>
          </w:tcPr>
          <w:p w14:paraId="796D0E76" w14:textId="77777777" w:rsidR="0033428E" w:rsidRPr="0033428E" w:rsidRDefault="0033428E" w:rsidP="0033428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For exchanges taking place as physical </w:t>
            </w:r>
            <w:proofErr w:type="spellStart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>mobilities</w:t>
            </w:r>
            <w:proofErr w:type="spellEnd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>, the duration should be at least two working days to be</w:t>
            </w:r>
          </w:p>
          <w:p w14:paraId="67D0BD5A" w14:textId="77777777" w:rsidR="0033428E" w:rsidRPr="0033428E" w:rsidRDefault="0033428E" w:rsidP="0033428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proofErr w:type="gramStart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>considered</w:t>
            </w:r>
            <w:proofErr w:type="gramEnd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as an “exchange”. “Participants” are those who completed such programmes/ activities.</w:t>
            </w:r>
          </w:p>
          <w:p w14:paraId="4DFD0288" w14:textId="77777777" w:rsidR="0033428E" w:rsidRPr="0033428E" w:rsidRDefault="0033428E" w:rsidP="0033428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  <w:p w14:paraId="7E56F744" w14:textId="77777777" w:rsidR="0033428E" w:rsidRPr="0033428E" w:rsidRDefault="0033428E" w:rsidP="0033428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For exchanges taking place online, the total combined duration of a set of activities should be at least 8 hours to be considered as an “exchange”. The </w:t>
            </w:r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lastRenderedPageBreak/>
              <w:t>individual activities considered under one exchange can be spread over</w:t>
            </w:r>
          </w:p>
          <w:p w14:paraId="4745B786" w14:textId="6958E011" w:rsidR="00F953C4" w:rsidRPr="009D444B" w:rsidRDefault="0033428E" w:rsidP="0033428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proofErr w:type="gramStart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>several</w:t>
            </w:r>
            <w:proofErr w:type="gramEnd"/>
            <w:r w:rsidRPr="0033428E">
              <w:rPr>
                <w:rFonts w:eastAsia="Calibri"/>
                <w:bCs/>
                <w:color w:val="000000"/>
                <w:sz w:val="20"/>
                <w:lang w:val="en-GB" w:eastAsia="lt-LT"/>
              </w:rPr>
              <w:t xml:space="preserve"> days.</w:t>
            </w:r>
          </w:p>
        </w:tc>
        <w:tc>
          <w:tcPr>
            <w:tcW w:w="483" w:type="pct"/>
          </w:tcPr>
          <w:p w14:paraId="589E7967" w14:textId="57901289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Number </w:t>
            </w:r>
          </w:p>
        </w:tc>
        <w:tc>
          <w:tcPr>
            <w:tcW w:w="580" w:type="pct"/>
          </w:tcPr>
          <w:p w14:paraId="52A44992" w14:textId="3C98D7E7" w:rsidR="00F953C4" w:rsidRPr="009D444B" w:rsidRDefault="00F953C4" w:rsidP="00F953C4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03A74820" w14:textId="35D52637" w:rsidR="00F953C4" w:rsidRPr="009D444B" w:rsidRDefault="00F953C4" w:rsidP="00E5590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All employees from </w:t>
            </w:r>
            <w:r w:rsidR="00E55908">
              <w:rPr>
                <w:sz w:val="20"/>
                <w:lang w:val="en-GB"/>
              </w:rPr>
              <w:t>Donor</w:t>
            </w:r>
            <w:r w:rsidRPr="009D444B">
              <w:rPr>
                <w:sz w:val="20"/>
                <w:lang w:val="en-GB"/>
              </w:rPr>
              <w:t xml:space="preserve"> countries participating in the exchange are counted</w:t>
            </w:r>
          </w:p>
        </w:tc>
        <w:tc>
          <w:tcPr>
            <w:tcW w:w="529" w:type="pct"/>
          </w:tcPr>
          <w:p w14:paraId="0F3A0F37" w14:textId="5AF29FBA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Primary sour</w:t>
            </w:r>
            <w:r w:rsidR="00E55908">
              <w:rPr>
                <w:sz w:val="20"/>
                <w:lang w:val="en-GB"/>
              </w:rPr>
              <w:t>ces - documents of the Project P</w:t>
            </w:r>
            <w:r w:rsidRPr="009D444B">
              <w:rPr>
                <w:sz w:val="20"/>
                <w:lang w:val="en-GB"/>
              </w:rPr>
              <w:t>romoter and / or partners (for example, lists of participants, business trip orders, etc.)</w:t>
            </w:r>
          </w:p>
          <w:p w14:paraId="41666AAD" w14:textId="77777777" w:rsidR="00F953C4" w:rsidRPr="009D444B" w:rsidRDefault="00F953C4" w:rsidP="00F953C4">
            <w:pPr>
              <w:rPr>
                <w:sz w:val="20"/>
                <w:lang w:val="en-GB"/>
              </w:rPr>
            </w:pPr>
          </w:p>
          <w:p w14:paraId="43869E2F" w14:textId="11174372" w:rsidR="00F953C4" w:rsidRPr="009D444B" w:rsidRDefault="00F953C4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Secondary sources - payment requests</w:t>
            </w:r>
          </w:p>
        </w:tc>
        <w:tc>
          <w:tcPr>
            <w:tcW w:w="436" w:type="pct"/>
          </w:tcPr>
          <w:p w14:paraId="5D58A1E1" w14:textId="77777777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Data on the achievement of the indicator are collected at least once every six months according to the periodicity of submission of payment requests (PR). </w:t>
            </w:r>
          </w:p>
          <w:p w14:paraId="2C4711E0" w14:textId="77777777" w:rsidR="006112F1" w:rsidRPr="009D444B" w:rsidRDefault="006112F1" w:rsidP="006112F1">
            <w:pPr>
              <w:rPr>
                <w:sz w:val="20"/>
                <w:lang w:val="en-GB"/>
              </w:rPr>
            </w:pPr>
          </w:p>
          <w:p w14:paraId="1E6F5182" w14:textId="4DFB83FB" w:rsidR="00F953C4" w:rsidRPr="009D444B" w:rsidRDefault="006112F1" w:rsidP="006112F1">
            <w:pPr>
              <w:ind w:right="-51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</w:t>
            </w:r>
            <w:r w:rsidRPr="009D444B">
              <w:rPr>
                <w:sz w:val="20"/>
                <w:lang w:val="en-GB"/>
              </w:rPr>
              <w:lastRenderedPageBreak/>
              <w:t>when the PR of the Project is approved.</w:t>
            </w:r>
          </w:p>
        </w:tc>
        <w:tc>
          <w:tcPr>
            <w:tcW w:w="479" w:type="pct"/>
          </w:tcPr>
          <w:p w14:paraId="2F96B94D" w14:textId="3416FD2A" w:rsidR="00F953C4" w:rsidRPr="009D444B" w:rsidRDefault="00351AF0" w:rsidP="00F953C4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>Project Promoter</w:t>
            </w:r>
          </w:p>
        </w:tc>
      </w:tr>
      <w:tr w:rsidR="006112F1" w:rsidRPr="009D444B" w14:paraId="137E0010" w14:textId="77777777" w:rsidTr="007954FD">
        <w:tc>
          <w:tcPr>
            <w:tcW w:w="244" w:type="pct"/>
          </w:tcPr>
          <w:p w14:paraId="39FA1404" w14:textId="1CF42113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3.</w:t>
            </w:r>
          </w:p>
        </w:tc>
        <w:tc>
          <w:tcPr>
            <w:tcW w:w="588" w:type="pct"/>
          </w:tcPr>
          <w:p w14:paraId="49DEA635" w14:textId="7F094C13" w:rsidR="006112F1" w:rsidRPr="009D444B" w:rsidRDefault="00E55908" w:rsidP="006112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projects involving cooperation with a Donor Project Partner (disaggregated by Donor State</w:t>
            </w:r>
            <w:r w:rsidR="0033428E">
              <w:rPr>
                <w:sz w:val="20"/>
                <w:lang w:val="en-GB"/>
              </w:rPr>
              <w:t>, type of exchange – physical or virtual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491" w:type="pct"/>
          </w:tcPr>
          <w:p w14:paraId="7D9B2767" w14:textId="6C101C2D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7</w:t>
            </w:r>
          </w:p>
        </w:tc>
        <w:tc>
          <w:tcPr>
            <w:tcW w:w="687" w:type="pct"/>
          </w:tcPr>
          <w:p w14:paraId="444386B0" w14:textId="77777777" w:rsidR="006112F1" w:rsidRPr="009D444B" w:rsidRDefault="006112F1" w:rsidP="006112F1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</w:tc>
        <w:tc>
          <w:tcPr>
            <w:tcW w:w="483" w:type="pct"/>
          </w:tcPr>
          <w:p w14:paraId="6D92F9E8" w14:textId="6B7468C6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80" w:type="pct"/>
          </w:tcPr>
          <w:p w14:paraId="3A8A2FAB" w14:textId="58136D93" w:rsidR="006112F1" w:rsidRPr="009D444B" w:rsidRDefault="006112F1" w:rsidP="006112F1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Entered</w:t>
            </w:r>
          </w:p>
        </w:tc>
        <w:tc>
          <w:tcPr>
            <w:tcW w:w="483" w:type="pct"/>
          </w:tcPr>
          <w:p w14:paraId="62538CA9" w14:textId="601074DD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All projects implemented i</w:t>
            </w:r>
            <w:r w:rsidR="00E55908">
              <w:rPr>
                <w:sz w:val="20"/>
                <w:lang w:val="en-GB"/>
              </w:rPr>
              <w:t>n partnership with partners of D</w:t>
            </w:r>
            <w:r w:rsidRPr="009D444B">
              <w:rPr>
                <w:sz w:val="20"/>
                <w:lang w:val="en-GB"/>
              </w:rPr>
              <w:t>onor countries are counted</w:t>
            </w:r>
          </w:p>
        </w:tc>
        <w:tc>
          <w:tcPr>
            <w:tcW w:w="529" w:type="pct"/>
          </w:tcPr>
          <w:p w14:paraId="07E26C78" w14:textId="05009D98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Primary sources - partnership agreements and Project </w:t>
            </w:r>
            <w:r w:rsidR="00E55908">
              <w:rPr>
                <w:sz w:val="20"/>
                <w:lang w:val="en-GB"/>
              </w:rPr>
              <w:t>contracts</w:t>
            </w:r>
            <w:r w:rsidRPr="009D444B">
              <w:rPr>
                <w:sz w:val="20"/>
                <w:lang w:val="en-GB"/>
              </w:rPr>
              <w:t>.</w:t>
            </w:r>
          </w:p>
          <w:p w14:paraId="1467F796" w14:textId="77777777" w:rsidR="006112F1" w:rsidRPr="009D444B" w:rsidRDefault="006112F1" w:rsidP="006112F1">
            <w:pPr>
              <w:rPr>
                <w:sz w:val="20"/>
                <w:lang w:val="en-GB"/>
              </w:rPr>
            </w:pPr>
          </w:p>
          <w:p w14:paraId="3A480B8F" w14:textId="40557BBF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Secondary sources - final payment request </w:t>
            </w:r>
          </w:p>
        </w:tc>
        <w:tc>
          <w:tcPr>
            <w:tcW w:w="436" w:type="pct"/>
          </w:tcPr>
          <w:p w14:paraId="0F27DCD1" w14:textId="77777777" w:rsidR="006112F1" w:rsidRPr="009D444B" w:rsidRDefault="006112F1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Data on the achievement of the indicator are collected at least once every six months according to the periodicity of submission of payment requests (PR). </w:t>
            </w:r>
          </w:p>
          <w:p w14:paraId="074EEE68" w14:textId="77777777" w:rsidR="006112F1" w:rsidRPr="009D444B" w:rsidRDefault="006112F1" w:rsidP="006112F1">
            <w:pPr>
              <w:rPr>
                <w:sz w:val="20"/>
                <w:lang w:val="en-GB"/>
              </w:rPr>
            </w:pPr>
          </w:p>
          <w:p w14:paraId="78F03075" w14:textId="4E969673" w:rsidR="006112F1" w:rsidRPr="009D444B" w:rsidRDefault="006112F1" w:rsidP="006112F1">
            <w:pPr>
              <w:ind w:right="-51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The indicator is considered to have been achieved when the PR of the Project is approved. </w:t>
            </w:r>
          </w:p>
        </w:tc>
        <w:tc>
          <w:tcPr>
            <w:tcW w:w="479" w:type="pct"/>
          </w:tcPr>
          <w:p w14:paraId="317FEB98" w14:textId="6A55DDE2" w:rsidR="006112F1" w:rsidRPr="009D444B" w:rsidRDefault="00351AF0" w:rsidP="006112F1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Project Promoter</w:t>
            </w:r>
          </w:p>
        </w:tc>
      </w:tr>
    </w:tbl>
    <w:p w14:paraId="63D5111F" w14:textId="2F2357D1" w:rsidR="006635E7" w:rsidRPr="009D444B" w:rsidRDefault="006635E7" w:rsidP="006635E7">
      <w:pPr>
        <w:rPr>
          <w:lang w:val="en-GB"/>
        </w:rPr>
      </w:pPr>
    </w:p>
    <w:p w14:paraId="12F47255" w14:textId="16FF581E" w:rsidR="005A0B2A" w:rsidRPr="009D444B" w:rsidRDefault="005A0B2A" w:rsidP="005A0B2A">
      <w:pPr>
        <w:jc w:val="center"/>
        <w:rPr>
          <w:b/>
          <w:lang w:val="en-GB"/>
        </w:rPr>
      </w:pPr>
      <w:r w:rsidRPr="009D444B">
        <w:rPr>
          <w:b/>
          <w:lang w:val="en-GB"/>
        </w:rPr>
        <w:t>METHODOLOGY FOR CALCULATING PROJECT CONTINUITY INDICATORS</w:t>
      </w:r>
    </w:p>
    <w:p w14:paraId="4A64C301" w14:textId="46D2D675" w:rsidR="006635E7" w:rsidRPr="009D444B" w:rsidRDefault="006635E7" w:rsidP="00384AE3">
      <w:pPr>
        <w:jc w:val="center"/>
        <w:rPr>
          <w:b/>
          <w:lang w:val="en-GB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03"/>
        <w:gridCol w:w="1422"/>
        <w:gridCol w:w="1983"/>
        <w:gridCol w:w="1391"/>
        <w:gridCol w:w="1677"/>
        <w:gridCol w:w="1399"/>
        <w:gridCol w:w="1532"/>
        <w:gridCol w:w="1258"/>
        <w:gridCol w:w="1391"/>
      </w:tblGrid>
      <w:tr w:rsidR="005A0B2A" w:rsidRPr="009D444B" w14:paraId="0E94713E" w14:textId="77777777" w:rsidTr="0034493E">
        <w:trPr>
          <w:trHeight w:val="907"/>
        </w:trPr>
        <w:tc>
          <w:tcPr>
            <w:tcW w:w="242" w:type="pct"/>
            <w:vAlign w:val="center"/>
          </w:tcPr>
          <w:p w14:paraId="777C8F2D" w14:textId="42CAC99E" w:rsidR="005A0B2A" w:rsidRPr="009D444B" w:rsidRDefault="005A0B2A" w:rsidP="005A0B2A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Indicator No</w:t>
            </w:r>
          </w:p>
        </w:tc>
        <w:tc>
          <w:tcPr>
            <w:tcW w:w="589" w:type="pct"/>
            <w:vAlign w:val="center"/>
          </w:tcPr>
          <w:p w14:paraId="78A59D9E" w14:textId="5815D134" w:rsidR="005A0B2A" w:rsidRPr="009D444B" w:rsidRDefault="005A0B2A" w:rsidP="005A0B2A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Name</w:t>
            </w:r>
          </w:p>
          <w:p w14:paraId="54B958CD" w14:textId="77777777" w:rsidR="005A0B2A" w:rsidRPr="009D444B" w:rsidRDefault="005A0B2A" w:rsidP="005A0B2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92" w:type="pct"/>
            <w:vAlign w:val="center"/>
          </w:tcPr>
          <w:p w14:paraId="65908272" w14:textId="3230A60E" w:rsidR="005A0B2A" w:rsidRPr="009D444B" w:rsidRDefault="005A0B2A" w:rsidP="005A0B2A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Target value </w:t>
            </w:r>
          </w:p>
        </w:tc>
        <w:tc>
          <w:tcPr>
            <w:tcW w:w="686" w:type="pct"/>
            <w:vAlign w:val="center"/>
          </w:tcPr>
          <w:p w14:paraId="52F49361" w14:textId="766E0F92" w:rsidR="005A0B2A" w:rsidRPr="009D444B" w:rsidRDefault="005A0B2A" w:rsidP="005A0B2A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Explanation of the indicator</w:t>
            </w:r>
          </w:p>
        </w:tc>
        <w:tc>
          <w:tcPr>
            <w:tcW w:w="2510" w:type="pct"/>
            <w:gridSpan w:val="5"/>
            <w:vAlign w:val="center"/>
          </w:tcPr>
          <w:p w14:paraId="0BC6D339" w14:textId="03BB40AA" w:rsidR="005A0B2A" w:rsidRPr="009D444B" w:rsidRDefault="005A0B2A" w:rsidP="005A0B2A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481" w:type="pct"/>
            <w:vAlign w:val="center"/>
          </w:tcPr>
          <w:p w14:paraId="65A1E328" w14:textId="1F248F45" w:rsidR="005A0B2A" w:rsidRPr="009D444B" w:rsidRDefault="005A0B2A" w:rsidP="005A0B2A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Authority responsible for providing information to the CPMA</w:t>
            </w:r>
          </w:p>
        </w:tc>
      </w:tr>
      <w:tr w:rsidR="008731F7" w:rsidRPr="009D444B" w14:paraId="7177E248" w14:textId="77777777" w:rsidTr="00EE1817">
        <w:trPr>
          <w:trHeight w:val="567"/>
        </w:trPr>
        <w:tc>
          <w:tcPr>
            <w:tcW w:w="242" w:type="pct"/>
            <w:vAlign w:val="center"/>
          </w:tcPr>
          <w:p w14:paraId="6FC906BA" w14:textId="77777777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0E13F80C" w14:textId="77777777" w:rsidR="008731F7" w:rsidRPr="009D444B" w:rsidRDefault="008731F7" w:rsidP="008731F7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92" w:type="pct"/>
          </w:tcPr>
          <w:p w14:paraId="2F1F9C2F" w14:textId="77777777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6AB776E9" w14:textId="77777777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1" w:type="pct"/>
            <w:vAlign w:val="center"/>
          </w:tcPr>
          <w:p w14:paraId="1B59BF8F" w14:textId="53962BC9" w:rsidR="008731F7" w:rsidRPr="009D444B" w:rsidRDefault="008731F7" w:rsidP="008731F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80" w:type="pct"/>
            <w:vAlign w:val="center"/>
          </w:tcPr>
          <w:p w14:paraId="5D168E8A" w14:textId="7065ABE4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484" w:type="pct"/>
            <w:vAlign w:val="center"/>
          </w:tcPr>
          <w:p w14:paraId="456729CF" w14:textId="5C99E9A0" w:rsidR="008731F7" w:rsidRPr="009D444B" w:rsidRDefault="008731F7" w:rsidP="008731F7">
            <w:pPr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530" w:type="pct"/>
            <w:vAlign w:val="center"/>
          </w:tcPr>
          <w:p w14:paraId="21BBD6B3" w14:textId="1C5406CF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>Information source</w:t>
            </w:r>
          </w:p>
        </w:tc>
        <w:tc>
          <w:tcPr>
            <w:tcW w:w="435" w:type="pct"/>
            <w:vAlign w:val="center"/>
          </w:tcPr>
          <w:p w14:paraId="3E28451A" w14:textId="3AAD8AC4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9D444B">
              <w:rPr>
                <w:b/>
                <w:bCs/>
                <w:sz w:val="20"/>
                <w:lang w:val="en-GB"/>
              </w:rPr>
              <w:t xml:space="preserve">Time </w:t>
            </w:r>
          </w:p>
        </w:tc>
        <w:tc>
          <w:tcPr>
            <w:tcW w:w="481" w:type="pct"/>
            <w:vAlign w:val="center"/>
          </w:tcPr>
          <w:p w14:paraId="29EFD981" w14:textId="77777777" w:rsidR="008731F7" w:rsidRPr="009D444B" w:rsidRDefault="008731F7" w:rsidP="008731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A5182E" w:rsidRPr="009D444B" w14:paraId="306ADDF8" w14:textId="77777777" w:rsidTr="00EE1817">
        <w:trPr>
          <w:trHeight w:val="433"/>
        </w:trPr>
        <w:tc>
          <w:tcPr>
            <w:tcW w:w="5000" w:type="pct"/>
            <w:gridSpan w:val="10"/>
            <w:vAlign w:val="center"/>
          </w:tcPr>
          <w:p w14:paraId="1F30DBBE" w14:textId="41A11417" w:rsidR="00A5182E" w:rsidRPr="009D444B" w:rsidRDefault="00E55908" w:rsidP="000B1540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Outcome</w:t>
            </w:r>
            <w:r w:rsidR="005A0B2A" w:rsidRPr="009D444B">
              <w:rPr>
                <w:b/>
                <w:bCs/>
                <w:sz w:val="20"/>
                <w:lang w:val="en-GB"/>
              </w:rPr>
              <w:t xml:space="preserve"> indicator </w:t>
            </w:r>
          </w:p>
        </w:tc>
      </w:tr>
      <w:tr w:rsidR="0034493E" w:rsidRPr="009D444B" w14:paraId="6DBF81E2" w14:textId="77777777" w:rsidTr="00EE1817">
        <w:tc>
          <w:tcPr>
            <w:tcW w:w="242" w:type="pct"/>
          </w:tcPr>
          <w:p w14:paraId="618C090B" w14:textId="09F8D53B" w:rsidR="009F528E" w:rsidRPr="009D444B" w:rsidRDefault="009F528E" w:rsidP="000B154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>1.</w:t>
            </w:r>
          </w:p>
        </w:tc>
        <w:tc>
          <w:tcPr>
            <w:tcW w:w="589" w:type="pct"/>
          </w:tcPr>
          <w:p w14:paraId="4EB1E1C4" w14:textId="471C8CA6" w:rsidR="00051D4F" w:rsidRPr="009D444B" w:rsidRDefault="00051D4F" w:rsidP="000B154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Number of </w:t>
            </w:r>
            <w:r w:rsidR="00E55908">
              <w:rPr>
                <w:sz w:val="20"/>
                <w:lang w:val="en-GB"/>
              </w:rPr>
              <w:t>beneficiaries</w:t>
            </w:r>
            <w:r w:rsidRPr="009D444B">
              <w:rPr>
                <w:sz w:val="20"/>
                <w:lang w:val="en-GB"/>
              </w:rPr>
              <w:t xml:space="preserve"> having received </w:t>
            </w:r>
            <w:r w:rsidRPr="009D444B">
              <w:rPr>
                <w:sz w:val="20"/>
                <w:lang w:val="en-GB"/>
              </w:rPr>
              <w:lastRenderedPageBreak/>
              <w:t xml:space="preserve">the mandatory services </w:t>
            </w:r>
          </w:p>
          <w:p w14:paraId="5443C429" w14:textId="54F4DE3D" w:rsidR="009F528E" w:rsidRPr="009D444B" w:rsidRDefault="009F528E" w:rsidP="000B1540">
            <w:pPr>
              <w:rPr>
                <w:sz w:val="20"/>
                <w:lang w:val="en-GB"/>
              </w:rPr>
            </w:pPr>
          </w:p>
        </w:tc>
        <w:tc>
          <w:tcPr>
            <w:tcW w:w="492" w:type="pct"/>
          </w:tcPr>
          <w:p w14:paraId="46C93894" w14:textId="31AD8E42" w:rsidR="009F528E" w:rsidRPr="009D444B" w:rsidRDefault="00051D4F" w:rsidP="00567868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The intended value shall be indicated by </w:t>
            </w:r>
            <w:r w:rsidRPr="009D444B">
              <w:rPr>
                <w:sz w:val="20"/>
                <w:lang w:val="en-GB"/>
              </w:rPr>
              <w:lastRenderedPageBreak/>
              <w:t>the applicant when submitting the application and shall provide information justifying such value</w:t>
            </w:r>
          </w:p>
        </w:tc>
        <w:tc>
          <w:tcPr>
            <w:tcW w:w="686" w:type="pct"/>
          </w:tcPr>
          <w:p w14:paraId="2ACC6CA6" w14:textId="481B251C" w:rsidR="0034493E" w:rsidRPr="009D444B" w:rsidRDefault="008731F7" w:rsidP="0034493E">
            <w:pPr>
              <w:suppressAutoHyphens/>
              <w:textAlignment w:val="center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Number of individuals having received mandatory </w:t>
            </w:r>
            <w:r w:rsidRPr="009D444B">
              <w:rPr>
                <w:sz w:val="20"/>
                <w:lang w:val="en-GB"/>
              </w:rPr>
              <w:lastRenderedPageBreak/>
              <w:t>services during the project continuity period after the project has been implemented (the definition of the mandatory services is provided in point 3.9 of the Guidelines).</w:t>
            </w:r>
          </w:p>
          <w:p w14:paraId="308C5DE2" w14:textId="3B00DA88" w:rsidR="0034493E" w:rsidRPr="009D444B" w:rsidRDefault="0034493E" w:rsidP="0034493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</w:tc>
        <w:tc>
          <w:tcPr>
            <w:tcW w:w="481" w:type="pct"/>
          </w:tcPr>
          <w:p w14:paraId="13FA71F5" w14:textId="3FAA3704" w:rsidR="009F528E" w:rsidRPr="009D444B" w:rsidRDefault="008731F7" w:rsidP="000B154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Number </w:t>
            </w:r>
          </w:p>
        </w:tc>
        <w:tc>
          <w:tcPr>
            <w:tcW w:w="580" w:type="pct"/>
          </w:tcPr>
          <w:p w14:paraId="09F28917" w14:textId="5A51A2C1" w:rsidR="009F528E" w:rsidRPr="009D444B" w:rsidRDefault="008731F7" w:rsidP="000B1540">
            <w:pPr>
              <w:jc w:val="center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4" w:type="pct"/>
          </w:tcPr>
          <w:p w14:paraId="3A6D9861" w14:textId="384BA51D" w:rsidR="008731F7" w:rsidRPr="009D444B" w:rsidRDefault="008731F7" w:rsidP="003522F4">
            <w:pPr>
              <w:ind w:right="-148"/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t xml:space="preserve">Individuals having received mandatory </w:t>
            </w:r>
            <w:r w:rsidRPr="009D444B">
              <w:rPr>
                <w:sz w:val="20"/>
                <w:lang w:val="en-GB"/>
              </w:rPr>
              <w:lastRenderedPageBreak/>
              <w:t xml:space="preserve">services during the project continuity period after the project has been implemented are summed up </w:t>
            </w:r>
          </w:p>
          <w:p w14:paraId="37634FA5" w14:textId="77777777" w:rsidR="008731F7" w:rsidRPr="009D444B" w:rsidRDefault="008731F7" w:rsidP="003522F4">
            <w:pPr>
              <w:ind w:right="-148"/>
              <w:rPr>
                <w:sz w:val="20"/>
                <w:lang w:val="en-GB"/>
              </w:rPr>
            </w:pPr>
          </w:p>
          <w:p w14:paraId="47CA5C8A" w14:textId="77777777" w:rsidR="008731F7" w:rsidRPr="009D444B" w:rsidRDefault="008731F7" w:rsidP="003522F4">
            <w:pPr>
              <w:ind w:right="-148"/>
              <w:rPr>
                <w:sz w:val="20"/>
                <w:lang w:val="en-GB"/>
              </w:rPr>
            </w:pPr>
          </w:p>
          <w:p w14:paraId="589FE479" w14:textId="77777777" w:rsidR="008731F7" w:rsidRPr="009D444B" w:rsidRDefault="008731F7" w:rsidP="003522F4">
            <w:pPr>
              <w:ind w:right="-148"/>
              <w:rPr>
                <w:sz w:val="20"/>
                <w:lang w:val="en-GB"/>
              </w:rPr>
            </w:pPr>
          </w:p>
          <w:p w14:paraId="3881FCF7" w14:textId="490A1AFB" w:rsidR="009F528E" w:rsidRPr="009D444B" w:rsidRDefault="009F528E" w:rsidP="003522F4">
            <w:pPr>
              <w:ind w:right="-148"/>
              <w:rPr>
                <w:sz w:val="20"/>
                <w:lang w:val="en-GB"/>
              </w:rPr>
            </w:pPr>
          </w:p>
        </w:tc>
        <w:tc>
          <w:tcPr>
            <w:tcW w:w="530" w:type="pct"/>
          </w:tcPr>
          <w:p w14:paraId="090F30C3" w14:textId="676E3687" w:rsidR="009F528E" w:rsidRPr="009D444B" w:rsidRDefault="008731F7" w:rsidP="000B154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Sources - Summary reports of </w:t>
            </w:r>
            <w:r w:rsidRPr="009D444B">
              <w:rPr>
                <w:sz w:val="20"/>
                <w:lang w:val="en-GB"/>
              </w:rPr>
              <w:lastRenderedPageBreak/>
              <w:t>provided services submitted by the Project Promoter</w:t>
            </w:r>
          </w:p>
        </w:tc>
        <w:tc>
          <w:tcPr>
            <w:tcW w:w="435" w:type="pct"/>
          </w:tcPr>
          <w:p w14:paraId="36FD47A0" w14:textId="70781D9E" w:rsidR="009D444B" w:rsidRPr="009D444B" w:rsidRDefault="009D444B" w:rsidP="009D444B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Data on the achievement of the </w:t>
            </w:r>
            <w:r w:rsidRPr="009D444B">
              <w:rPr>
                <w:sz w:val="20"/>
                <w:lang w:val="en-GB"/>
              </w:rPr>
              <w:lastRenderedPageBreak/>
              <w:t>indicator are collected at least once a year for a period of 5 years after the end of the Project implementation</w:t>
            </w:r>
          </w:p>
          <w:p w14:paraId="0FCAD6D3" w14:textId="77777777" w:rsidR="009D444B" w:rsidRPr="009D444B" w:rsidRDefault="009D444B" w:rsidP="00567868">
            <w:pPr>
              <w:ind w:right="-193"/>
              <w:rPr>
                <w:sz w:val="20"/>
                <w:lang w:val="en-GB"/>
              </w:rPr>
            </w:pPr>
          </w:p>
          <w:p w14:paraId="5D38E370" w14:textId="77777777" w:rsidR="009D444B" w:rsidRPr="009D444B" w:rsidRDefault="009D444B" w:rsidP="00567868">
            <w:pPr>
              <w:ind w:right="-193"/>
              <w:rPr>
                <w:sz w:val="20"/>
                <w:lang w:val="en-GB"/>
              </w:rPr>
            </w:pPr>
          </w:p>
          <w:p w14:paraId="69BC1B81" w14:textId="77777777" w:rsidR="009D444B" w:rsidRPr="009D444B" w:rsidRDefault="009D444B" w:rsidP="00567868">
            <w:pPr>
              <w:ind w:right="-193"/>
              <w:rPr>
                <w:sz w:val="20"/>
                <w:lang w:val="en-GB"/>
              </w:rPr>
            </w:pPr>
          </w:p>
          <w:p w14:paraId="17027AA4" w14:textId="6750C870" w:rsidR="009F528E" w:rsidRPr="009D444B" w:rsidRDefault="009F528E" w:rsidP="009D444B">
            <w:pPr>
              <w:ind w:right="-193"/>
              <w:rPr>
                <w:sz w:val="20"/>
                <w:lang w:val="en-GB"/>
              </w:rPr>
            </w:pPr>
          </w:p>
        </w:tc>
        <w:tc>
          <w:tcPr>
            <w:tcW w:w="481" w:type="pct"/>
          </w:tcPr>
          <w:p w14:paraId="5527AA5D" w14:textId="02255C6C" w:rsidR="009F528E" w:rsidRPr="009D444B" w:rsidRDefault="009D444B" w:rsidP="000B1540">
            <w:pPr>
              <w:rPr>
                <w:sz w:val="20"/>
                <w:lang w:val="en-GB"/>
              </w:rPr>
            </w:pPr>
            <w:r w:rsidRPr="009D444B">
              <w:rPr>
                <w:sz w:val="20"/>
                <w:lang w:val="en-GB"/>
              </w:rPr>
              <w:lastRenderedPageBreak/>
              <w:t xml:space="preserve">Project promoter </w:t>
            </w:r>
          </w:p>
        </w:tc>
      </w:tr>
    </w:tbl>
    <w:p w14:paraId="19C6834F" w14:textId="77777777" w:rsidR="009F528E" w:rsidRPr="009D444B" w:rsidRDefault="009F528E" w:rsidP="00384AE3">
      <w:pPr>
        <w:jc w:val="center"/>
        <w:rPr>
          <w:b/>
          <w:lang w:val="en-GB"/>
        </w:rPr>
      </w:pPr>
    </w:p>
    <w:sectPr w:rsidR="009F528E" w:rsidRPr="009D444B" w:rsidSect="007F1F48"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0AD8" w14:textId="77777777" w:rsidR="0015146A" w:rsidRDefault="0015146A" w:rsidP="007F1F48">
      <w:r>
        <w:separator/>
      </w:r>
    </w:p>
  </w:endnote>
  <w:endnote w:type="continuationSeparator" w:id="0">
    <w:p w14:paraId="236DE1C9" w14:textId="77777777" w:rsidR="0015146A" w:rsidRDefault="0015146A" w:rsidP="007F1F48">
      <w:r>
        <w:continuationSeparator/>
      </w:r>
    </w:p>
  </w:endnote>
  <w:endnote w:type="continuationNotice" w:id="1">
    <w:p w14:paraId="268FD20A" w14:textId="77777777" w:rsidR="0015146A" w:rsidRDefault="00151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FF6E" w14:textId="77777777" w:rsidR="0015146A" w:rsidRDefault="0015146A" w:rsidP="007F1F48">
      <w:r>
        <w:separator/>
      </w:r>
    </w:p>
  </w:footnote>
  <w:footnote w:type="continuationSeparator" w:id="0">
    <w:p w14:paraId="0B41ACB3" w14:textId="77777777" w:rsidR="0015146A" w:rsidRDefault="0015146A" w:rsidP="007F1F48">
      <w:r>
        <w:continuationSeparator/>
      </w:r>
    </w:p>
  </w:footnote>
  <w:footnote w:type="continuationNotice" w:id="1">
    <w:p w14:paraId="7F4A653E" w14:textId="77777777" w:rsidR="0015146A" w:rsidRDefault="0015146A"/>
  </w:footnote>
  <w:footnote w:id="2">
    <w:p w14:paraId="7ED802FC" w14:textId="568ACBBE" w:rsidR="00BF5627" w:rsidRPr="009D444B" w:rsidRDefault="00BF5627" w:rsidP="00BF5627">
      <w:pPr>
        <w:pStyle w:val="Footer"/>
        <w:rPr>
          <w:sz w:val="18"/>
          <w:szCs w:val="18"/>
          <w:lang w:val="en-GB"/>
        </w:rPr>
      </w:pPr>
      <w:r w:rsidRPr="009D444B">
        <w:rPr>
          <w:rStyle w:val="FootnoteReference"/>
          <w:lang w:val="en-GB"/>
        </w:rPr>
        <w:footnoteRef/>
      </w:r>
      <w:r w:rsidRPr="009D444B">
        <w:rPr>
          <w:lang w:val="en-GB"/>
        </w:rPr>
        <w:t xml:space="preserve"> </w:t>
      </w:r>
      <w:r w:rsidR="009D444B" w:rsidRPr="009D444B">
        <w:rPr>
          <w:sz w:val="18"/>
          <w:szCs w:val="18"/>
          <w:lang w:val="en-GB"/>
        </w:rPr>
        <w:t xml:space="preserve">The target value of the Health Programme, which is specified in this indicator, also includes the results of other programme measures - the call “Implementation of the Model of Well-being advisors”, the </w:t>
      </w:r>
      <w:r w:rsidR="00D903BA">
        <w:rPr>
          <w:sz w:val="18"/>
          <w:szCs w:val="18"/>
          <w:lang w:val="en-GB"/>
        </w:rPr>
        <w:t>pre-defined</w:t>
      </w:r>
      <w:r w:rsidR="009D444B" w:rsidRPr="009D444B">
        <w:rPr>
          <w:sz w:val="18"/>
          <w:szCs w:val="18"/>
          <w:lang w:val="en-GB"/>
        </w:rPr>
        <w:t xml:space="preserve"> project “Multidimensional approach to behavioural problems of children and young people through the implementation of the MDFT program”. The target value of the </w:t>
      </w:r>
      <w:r w:rsidR="00D903BA">
        <w:rPr>
          <w:sz w:val="18"/>
          <w:szCs w:val="18"/>
          <w:lang w:val="en-GB"/>
        </w:rPr>
        <w:t>outcome</w:t>
      </w:r>
      <w:r w:rsidR="009D444B" w:rsidRPr="009D444B">
        <w:rPr>
          <w:sz w:val="18"/>
          <w:szCs w:val="18"/>
          <w:lang w:val="en-GB"/>
        </w:rPr>
        <w:t xml:space="preserve"> indicator of the meas</w:t>
      </w:r>
      <w:r w:rsidR="00D903BA">
        <w:rPr>
          <w:sz w:val="18"/>
          <w:szCs w:val="18"/>
          <w:lang w:val="en-GB"/>
        </w:rPr>
        <w:t>ure and call "Establishment of “</w:t>
      </w:r>
      <w:r w:rsidR="009D444B" w:rsidRPr="009D444B">
        <w:rPr>
          <w:sz w:val="18"/>
          <w:szCs w:val="18"/>
          <w:lang w:val="en-GB"/>
        </w:rPr>
        <w:t>One Stop</w:t>
      </w:r>
      <w:r w:rsidR="00D903BA">
        <w:rPr>
          <w:sz w:val="18"/>
          <w:szCs w:val="18"/>
          <w:lang w:val="en-GB"/>
        </w:rPr>
        <w:t>”</w:t>
      </w:r>
      <w:r w:rsidR="009D444B" w:rsidRPr="009D444B">
        <w:rPr>
          <w:sz w:val="18"/>
          <w:szCs w:val="18"/>
          <w:lang w:val="en-GB"/>
        </w:rPr>
        <w:t xml:space="preserve"> centre for families and children" - 300 individuals.</w:t>
      </w:r>
    </w:p>
    <w:p w14:paraId="2C8BFC4E" w14:textId="6E744DC2" w:rsidR="00BF5627" w:rsidRPr="009D444B" w:rsidRDefault="00BF5627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50"/>
    <w:multiLevelType w:val="multilevel"/>
    <w:tmpl w:val="7F401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02E2A"/>
    <w:rsid w:val="00005843"/>
    <w:rsid w:val="000316A9"/>
    <w:rsid w:val="00032B1B"/>
    <w:rsid w:val="00051D4F"/>
    <w:rsid w:val="00060BC9"/>
    <w:rsid w:val="00063180"/>
    <w:rsid w:val="00065FDE"/>
    <w:rsid w:val="000802F9"/>
    <w:rsid w:val="00086C36"/>
    <w:rsid w:val="00094805"/>
    <w:rsid w:val="0009519D"/>
    <w:rsid w:val="00096B60"/>
    <w:rsid w:val="000A4536"/>
    <w:rsid w:val="000B5C0A"/>
    <w:rsid w:val="000C1E61"/>
    <w:rsid w:val="000C693F"/>
    <w:rsid w:val="000D0418"/>
    <w:rsid w:val="000D7168"/>
    <w:rsid w:val="000E692F"/>
    <w:rsid w:val="00105DE5"/>
    <w:rsid w:val="00123450"/>
    <w:rsid w:val="001370E3"/>
    <w:rsid w:val="0015146A"/>
    <w:rsid w:val="00156ADA"/>
    <w:rsid w:val="00166B1B"/>
    <w:rsid w:val="00175D5E"/>
    <w:rsid w:val="00190597"/>
    <w:rsid w:val="00196891"/>
    <w:rsid w:val="001A1BC1"/>
    <w:rsid w:val="001A7B74"/>
    <w:rsid w:val="001B2FE5"/>
    <w:rsid w:val="001B7619"/>
    <w:rsid w:val="001D03C2"/>
    <w:rsid w:val="001D58EB"/>
    <w:rsid w:val="001E7B8A"/>
    <w:rsid w:val="001E7CA8"/>
    <w:rsid w:val="00203397"/>
    <w:rsid w:val="002035BA"/>
    <w:rsid w:val="002056E6"/>
    <w:rsid w:val="00205DEB"/>
    <w:rsid w:val="002070B2"/>
    <w:rsid w:val="00223561"/>
    <w:rsid w:val="00223EA6"/>
    <w:rsid w:val="0026257D"/>
    <w:rsid w:val="00276357"/>
    <w:rsid w:val="0028209A"/>
    <w:rsid w:val="0029325A"/>
    <w:rsid w:val="0029498B"/>
    <w:rsid w:val="00295AB6"/>
    <w:rsid w:val="002A39BB"/>
    <w:rsid w:val="00304C18"/>
    <w:rsid w:val="00307692"/>
    <w:rsid w:val="003159AC"/>
    <w:rsid w:val="003210A2"/>
    <w:rsid w:val="003211ED"/>
    <w:rsid w:val="00325443"/>
    <w:rsid w:val="003254BF"/>
    <w:rsid w:val="00327F8C"/>
    <w:rsid w:val="0033428E"/>
    <w:rsid w:val="00340287"/>
    <w:rsid w:val="0034493E"/>
    <w:rsid w:val="00346D7D"/>
    <w:rsid w:val="003507E7"/>
    <w:rsid w:val="00351AF0"/>
    <w:rsid w:val="003522F4"/>
    <w:rsid w:val="00361747"/>
    <w:rsid w:val="00362CE0"/>
    <w:rsid w:val="00384AE3"/>
    <w:rsid w:val="00392F8D"/>
    <w:rsid w:val="003A6429"/>
    <w:rsid w:val="003A7E2E"/>
    <w:rsid w:val="003B6D23"/>
    <w:rsid w:val="003B6F5E"/>
    <w:rsid w:val="003C3EA0"/>
    <w:rsid w:val="003F2AB2"/>
    <w:rsid w:val="0040237A"/>
    <w:rsid w:val="00407B4A"/>
    <w:rsid w:val="00416AFF"/>
    <w:rsid w:val="00423485"/>
    <w:rsid w:val="00434A45"/>
    <w:rsid w:val="00435620"/>
    <w:rsid w:val="0044587C"/>
    <w:rsid w:val="00451012"/>
    <w:rsid w:val="00460336"/>
    <w:rsid w:val="00461208"/>
    <w:rsid w:val="00483CA1"/>
    <w:rsid w:val="00485C52"/>
    <w:rsid w:val="00494CB3"/>
    <w:rsid w:val="004C2D8D"/>
    <w:rsid w:val="004C5B3D"/>
    <w:rsid w:val="004D5B71"/>
    <w:rsid w:val="004E09F2"/>
    <w:rsid w:val="004F071E"/>
    <w:rsid w:val="004F1FF0"/>
    <w:rsid w:val="00510F29"/>
    <w:rsid w:val="0051523F"/>
    <w:rsid w:val="0052052D"/>
    <w:rsid w:val="00520A64"/>
    <w:rsid w:val="00520F33"/>
    <w:rsid w:val="00534D4F"/>
    <w:rsid w:val="00534DEE"/>
    <w:rsid w:val="00546ADB"/>
    <w:rsid w:val="00556C87"/>
    <w:rsid w:val="005603BC"/>
    <w:rsid w:val="00567868"/>
    <w:rsid w:val="00570143"/>
    <w:rsid w:val="005754FB"/>
    <w:rsid w:val="005762DD"/>
    <w:rsid w:val="00581E5A"/>
    <w:rsid w:val="0058308A"/>
    <w:rsid w:val="00591178"/>
    <w:rsid w:val="005A0B2A"/>
    <w:rsid w:val="005A2AA8"/>
    <w:rsid w:val="005A5272"/>
    <w:rsid w:val="005A5DF2"/>
    <w:rsid w:val="005B22D4"/>
    <w:rsid w:val="005B2DC8"/>
    <w:rsid w:val="005B4964"/>
    <w:rsid w:val="005B5789"/>
    <w:rsid w:val="005B69A3"/>
    <w:rsid w:val="005C070A"/>
    <w:rsid w:val="005D12DF"/>
    <w:rsid w:val="005E0C98"/>
    <w:rsid w:val="005E414D"/>
    <w:rsid w:val="005F1FC2"/>
    <w:rsid w:val="00600A6D"/>
    <w:rsid w:val="00600B4E"/>
    <w:rsid w:val="0060495D"/>
    <w:rsid w:val="006112F1"/>
    <w:rsid w:val="00613CE1"/>
    <w:rsid w:val="00615A93"/>
    <w:rsid w:val="00616BDC"/>
    <w:rsid w:val="00620D04"/>
    <w:rsid w:val="00636D1E"/>
    <w:rsid w:val="00637E9B"/>
    <w:rsid w:val="00661326"/>
    <w:rsid w:val="006635E7"/>
    <w:rsid w:val="00684498"/>
    <w:rsid w:val="006863C3"/>
    <w:rsid w:val="006A0674"/>
    <w:rsid w:val="006B1D9F"/>
    <w:rsid w:val="006B3D9A"/>
    <w:rsid w:val="006D4040"/>
    <w:rsid w:val="006D450D"/>
    <w:rsid w:val="006E030D"/>
    <w:rsid w:val="006E2018"/>
    <w:rsid w:val="006E4366"/>
    <w:rsid w:val="006F1403"/>
    <w:rsid w:val="007062F3"/>
    <w:rsid w:val="007149DE"/>
    <w:rsid w:val="00721EB4"/>
    <w:rsid w:val="00723F25"/>
    <w:rsid w:val="007254DE"/>
    <w:rsid w:val="007432BE"/>
    <w:rsid w:val="00746DA2"/>
    <w:rsid w:val="0075098E"/>
    <w:rsid w:val="0075268C"/>
    <w:rsid w:val="00780220"/>
    <w:rsid w:val="007954FD"/>
    <w:rsid w:val="007B391D"/>
    <w:rsid w:val="007B5FB7"/>
    <w:rsid w:val="007B73FE"/>
    <w:rsid w:val="007C0EC4"/>
    <w:rsid w:val="007C1B41"/>
    <w:rsid w:val="007F0DE4"/>
    <w:rsid w:val="007F1F48"/>
    <w:rsid w:val="007F77E8"/>
    <w:rsid w:val="00806E6D"/>
    <w:rsid w:val="0080732D"/>
    <w:rsid w:val="00834390"/>
    <w:rsid w:val="00843B5D"/>
    <w:rsid w:val="00844304"/>
    <w:rsid w:val="00867730"/>
    <w:rsid w:val="008731F7"/>
    <w:rsid w:val="00874E6C"/>
    <w:rsid w:val="00875535"/>
    <w:rsid w:val="008825DA"/>
    <w:rsid w:val="00883C02"/>
    <w:rsid w:val="0089443E"/>
    <w:rsid w:val="00894673"/>
    <w:rsid w:val="00895846"/>
    <w:rsid w:val="008A4A2B"/>
    <w:rsid w:val="008B0518"/>
    <w:rsid w:val="008E0ACE"/>
    <w:rsid w:val="008E4C36"/>
    <w:rsid w:val="009147ED"/>
    <w:rsid w:val="00914DEB"/>
    <w:rsid w:val="009321A8"/>
    <w:rsid w:val="00936AF0"/>
    <w:rsid w:val="0094431D"/>
    <w:rsid w:val="00945E4F"/>
    <w:rsid w:val="009465C7"/>
    <w:rsid w:val="009531C8"/>
    <w:rsid w:val="00954EBF"/>
    <w:rsid w:val="009703C8"/>
    <w:rsid w:val="009816C8"/>
    <w:rsid w:val="0098379B"/>
    <w:rsid w:val="00986DA6"/>
    <w:rsid w:val="00992E15"/>
    <w:rsid w:val="0099757B"/>
    <w:rsid w:val="009A2561"/>
    <w:rsid w:val="009A7414"/>
    <w:rsid w:val="009B3E10"/>
    <w:rsid w:val="009C0193"/>
    <w:rsid w:val="009C2769"/>
    <w:rsid w:val="009C2CF5"/>
    <w:rsid w:val="009C4E15"/>
    <w:rsid w:val="009D02A0"/>
    <w:rsid w:val="009D444B"/>
    <w:rsid w:val="009D50F9"/>
    <w:rsid w:val="009D6E99"/>
    <w:rsid w:val="009F2473"/>
    <w:rsid w:val="009F528E"/>
    <w:rsid w:val="00A03B65"/>
    <w:rsid w:val="00A11B60"/>
    <w:rsid w:val="00A1201F"/>
    <w:rsid w:val="00A134AF"/>
    <w:rsid w:val="00A17AD0"/>
    <w:rsid w:val="00A25C45"/>
    <w:rsid w:val="00A25D11"/>
    <w:rsid w:val="00A330EA"/>
    <w:rsid w:val="00A33886"/>
    <w:rsid w:val="00A40726"/>
    <w:rsid w:val="00A40DB2"/>
    <w:rsid w:val="00A50EBF"/>
    <w:rsid w:val="00A5182E"/>
    <w:rsid w:val="00A679DA"/>
    <w:rsid w:val="00A74898"/>
    <w:rsid w:val="00A75490"/>
    <w:rsid w:val="00A8050C"/>
    <w:rsid w:val="00A85BF8"/>
    <w:rsid w:val="00A86AE8"/>
    <w:rsid w:val="00A915DF"/>
    <w:rsid w:val="00A931A9"/>
    <w:rsid w:val="00A94A71"/>
    <w:rsid w:val="00AB07A0"/>
    <w:rsid w:val="00AB10FA"/>
    <w:rsid w:val="00AC0D6A"/>
    <w:rsid w:val="00AC0E16"/>
    <w:rsid w:val="00AC107D"/>
    <w:rsid w:val="00AC3CA7"/>
    <w:rsid w:val="00AD23C5"/>
    <w:rsid w:val="00AF5F2F"/>
    <w:rsid w:val="00B11BC4"/>
    <w:rsid w:val="00B2386F"/>
    <w:rsid w:val="00B320B6"/>
    <w:rsid w:val="00B33215"/>
    <w:rsid w:val="00B371C1"/>
    <w:rsid w:val="00B43892"/>
    <w:rsid w:val="00B4665E"/>
    <w:rsid w:val="00B46E1A"/>
    <w:rsid w:val="00B62C22"/>
    <w:rsid w:val="00B72276"/>
    <w:rsid w:val="00B727B4"/>
    <w:rsid w:val="00B75D0C"/>
    <w:rsid w:val="00B91168"/>
    <w:rsid w:val="00BA0A6A"/>
    <w:rsid w:val="00BB3C99"/>
    <w:rsid w:val="00BC0A80"/>
    <w:rsid w:val="00BC41E5"/>
    <w:rsid w:val="00BD1881"/>
    <w:rsid w:val="00BD6E5A"/>
    <w:rsid w:val="00BD7185"/>
    <w:rsid w:val="00BE2D87"/>
    <w:rsid w:val="00BE6ACF"/>
    <w:rsid w:val="00BF5627"/>
    <w:rsid w:val="00C00B6A"/>
    <w:rsid w:val="00C03BF6"/>
    <w:rsid w:val="00C13BA5"/>
    <w:rsid w:val="00C20121"/>
    <w:rsid w:val="00C23BED"/>
    <w:rsid w:val="00C263E1"/>
    <w:rsid w:val="00C43E2A"/>
    <w:rsid w:val="00C5482D"/>
    <w:rsid w:val="00C70D01"/>
    <w:rsid w:val="00C80C75"/>
    <w:rsid w:val="00C946E1"/>
    <w:rsid w:val="00C96FAE"/>
    <w:rsid w:val="00CA31F5"/>
    <w:rsid w:val="00CD3841"/>
    <w:rsid w:val="00CF7A38"/>
    <w:rsid w:val="00D17F5E"/>
    <w:rsid w:val="00D21E61"/>
    <w:rsid w:val="00D2691C"/>
    <w:rsid w:val="00D3234F"/>
    <w:rsid w:val="00D40B7C"/>
    <w:rsid w:val="00D4332F"/>
    <w:rsid w:val="00D44CDD"/>
    <w:rsid w:val="00D45C48"/>
    <w:rsid w:val="00D5248F"/>
    <w:rsid w:val="00D5529B"/>
    <w:rsid w:val="00D5703D"/>
    <w:rsid w:val="00D61F05"/>
    <w:rsid w:val="00D66A25"/>
    <w:rsid w:val="00D7569E"/>
    <w:rsid w:val="00D903BA"/>
    <w:rsid w:val="00DA5479"/>
    <w:rsid w:val="00DA6641"/>
    <w:rsid w:val="00DA6A33"/>
    <w:rsid w:val="00DC41A6"/>
    <w:rsid w:val="00DD5AA9"/>
    <w:rsid w:val="00DE1FBB"/>
    <w:rsid w:val="00DE7B40"/>
    <w:rsid w:val="00DE7BE5"/>
    <w:rsid w:val="00E03ECD"/>
    <w:rsid w:val="00E05D44"/>
    <w:rsid w:val="00E36A5A"/>
    <w:rsid w:val="00E5310F"/>
    <w:rsid w:val="00E55908"/>
    <w:rsid w:val="00E57563"/>
    <w:rsid w:val="00E62CF0"/>
    <w:rsid w:val="00E661F4"/>
    <w:rsid w:val="00E80186"/>
    <w:rsid w:val="00E940F7"/>
    <w:rsid w:val="00EA2891"/>
    <w:rsid w:val="00EA3895"/>
    <w:rsid w:val="00EA75A4"/>
    <w:rsid w:val="00EB7695"/>
    <w:rsid w:val="00EC304D"/>
    <w:rsid w:val="00EE1817"/>
    <w:rsid w:val="00EF1171"/>
    <w:rsid w:val="00EF1920"/>
    <w:rsid w:val="00EF2CF3"/>
    <w:rsid w:val="00F0005B"/>
    <w:rsid w:val="00F00698"/>
    <w:rsid w:val="00F03F83"/>
    <w:rsid w:val="00F13B4F"/>
    <w:rsid w:val="00F276A2"/>
    <w:rsid w:val="00F433BE"/>
    <w:rsid w:val="00F63386"/>
    <w:rsid w:val="00F642AB"/>
    <w:rsid w:val="00F77DC5"/>
    <w:rsid w:val="00F77F0A"/>
    <w:rsid w:val="00F80884"/>
    <w:rsid w:val="00F8537E"/>
    <w:rsid w:val="00F925E7"/>
    <w:rsid w:val="00F953C4"/>
    <w:rsid w:val="00FA30D0"/>
    <w:rsid w:val="00FA4AEB"/>
    <w:rsid w:val="00FC0C7C"/>
    <w:rsid w:val="00FC41A7"/>
    <w:rsid w:val="00FC5EDB"/>
    <w:rsid w:val="00FC694A"/>
    <w:rsid w:val="00FD1953"/>
    <w:rsid w:val="00FD1CEC"/>
    <w:rsid w:val="00FD47BD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557F7A"/>
  <w15:docId w15:val="{E8F1226F-47A0-4922-9825-5C37D22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86D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6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6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wp6 xmlns="6a938c8e-ef85-4a6d-9165-d2703feb687c">
      <UserInfo>
        <DisplayName/>
        <AccountId xsi:nil="true"/>
        <AccountType/>
      </UserInfo>
    </_x0068_wp6>
    <Comments xmlns="6a938c8e-ef85-4a6d-9165-d2703feb687c" xsi:nil="true"/>
    <ProgrammeManager xmlns="6a938c8e-ef85-4a6d-9165-d2703feb687c">
      <UserInfo>
        <DisplayName/>
        <AccountId xsi:nil="true"/>
        <AccountType/>
      </UserInfo>
    </ProgrammeManager>
    <BeneficiaryState xmlns="6a938c8e-ef85-4a6d-9165-d2703feb687c" xsi:nil="true"/>
    <Sector xmlns="6a938c8e-ef85-4a6d-9165-d2703feb687c" xsi:nil="true"/>
    <c3o6 xmlns="6a938c8e-ef85-4a6d-9165-d2703feb687c">
      <UserInfo>
        <DisplayName/>
        <AccountId xsi:nil="true"/>
        <AccountType/>
      </UserInfo>
    </c3o6>
    <cnou xmlns="6a938c8e-ef85-4a6d-9165-d2703feb687c">
      <UserInfo>
        <DisplayName/>
        <AccountId xsi:nil="true"/>
        <AccountType/>
      </UserInfo>
    </cno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CD0A7B7E20643B47EF46ED85C1A31" ma:contentTypeVersion="18" ma:contentTypeDescription="Create a new document." ma:contentTypeScope="" ma:versionID="2d7bb8682d7aa759c29153d99772c846">
  <xsd:schema xmlns:xsd="http://www.w3.org/2001/XMLSchema" xmlns:xs="http://www.w3.org/2001/XMLSchema" xmlns:p="http://schemas.microsoft.com/office/2006/metadata/properties" xmlns:ns2="6a938c8e-ef85-4a6d-9165-d2703feb687c" xmlns:ns3="beec3a80-d048-4266-aa12-24f4844a1e70" targetNamespace="http://schemas.microsoft.com/office/2006/metadata/properties" ma:root="true" ma:fieldsID="8367c40648be7e0cbbacb3559965406f" ns2:_="" ns3:_="">
    <xsd:import namespace="6a938c8e-ef85-4a6d-9165-d2703feb687c"/>
    <xsd:import namespace="beec3a80-d048-4266-aa12-24f4844a1e70"/>
    <xsd:element name="properties">
      <xsd:complexType>
        <xsd:sequence>
          <xsd:element name="documentManagement">
            <xsd:complexType>
              <xsd:all>
                <xsd:element ref="ns2:ProgrammeManager" minOccurs="0"/>
                <xsd:element ref="ns2:BeneficiarySt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ector" minOccurs="0"/>
                <xsd:element ref="ns2:Comments" minOccurs="0"/>
                <xsd:element ref="ns2:_x0068_wp6" minOccurs="0"/>
                <xsd:element ref="ns2:c3o6" minOccurs="0"/>
                <xsd:element ref="ns2:cnou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8c8e-ef85-4a6d-9165-d2703feb687c" elementFormDefault="qualified">
    <xsd:import namespace="http://schemas.microsoft.com/office/2006/documentManagement/types"/>
    <xsd:import namespace="http://schemas.microsoft.com/office/infopath/2007/PartnerControls"/>
    <xsd:element name="ProgrammeManager" ma:index="8" nillable="true" ma:displayName="Programme Manager" ma:format="Dropdown" ma:list="UserInfo" ma:SharePointGroup="0" ma:internalName="Programme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neficiaryState" ma:index="9" nillable="true" ma:displayName="Beneficiary State" ma:format="Dropdown" ma:internalName="BeneficiaryState">
      <xsd:simpleType>
        <xsd:union memberTypes="dms:Text">
          <xsd:simpleType>
            <xsd:restriction base="dms:Choice">
              <xsd:enumeration value="CZ"/>
              <xsd:enumeration value="EE"/>
              <xsd:enumeration value="LT"/>
              <xsd:enumeration value="LV"/>
              <xsd:enumeration value="RO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ctor" ma:index="16" nillable="true" ma:displayName="Priority Sector" ma:description="Name of a priority sector of the EEA and Norway Grants" ma:format="Dropdown" ma:internalName="Sector">
      <xsd:simpleType>
        <xsd:restriction base="dms:Choice">
          <xsd:enumeration value="PS1 Innovation, Research, Edu &amp; Competitiveness"/>
          <xsd:enumeration value="PS2 Social Inclusion, Youth, Poverty"/>
          <xsd:enumeration value="PS3 Environement, Energy, Climate, ..."/>
          <xsd:enumeration value="PS4 Culture, CivilSoc, Governance,..."/>
          <xsd:enumeration value="PS5 Justice &amp; Home Affairs"/>
        </xsd:restriction>
      </xsd:simpleType>
    </xsd:element>
    <xsd:element name="Comments" ma:index="17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_x0068_wp6" ma:index="18" nillable="true" ma:displayName="Person or Group" ma:list="UserInfo" ma:internalName="_x0068_wp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3o6" ma:index="19" nillable="true" ma:displayName="Person or Group" ma:list="UserInfo" ma:internalName="c3o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nou" ma:index="20" nillable="true" ma:displayName="Frank Arne Sandsund" ma:list="UserInfo" ma:internalName="cno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a80-d048-4266-aa12-24f4844a1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AB72-EE2B-4215-89F4-3237DBB94C6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6a938c8e-ef85-4a6d-9165-d2703feb687c"/>
    <ds:schemaRef ds:uri="http://schemas.openxmlformats.org/package/2006/metadata/core-properties"/>
    <ds:schemaRef ds:uri="http://purl.org/dc/terms/"/>
    <ds:schemaRef ds:uri="beec3a80-d048-4266-aa12-24f4844a1e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E668CC-1926-4B33-93DE-6D7F7AAA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8c8e-ef85-4a6d-9165-d2703feb687c"/>
    <ds:schemaRef ds:uri="beec3a80-d048-4266-aa12-24f4844a1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0FED5-0092-4609-80A7-887FB7D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6259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Gairės_6 priedas</vt:lpstr>
      <vt:lpstr>6 PRIEDAS_STEBESENOS RODIKLIU SKAICIAVIMO METODIKA</vt:lpstr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Gairės_6 priedas</dc:title>
  <dc:creator>Sandra Remeikienė</dc:creator>
  <cp:lastModifiedBy>Sandra Remeikienė</cp:lastModifiedBy>
  <cp:revision>3</cp:revision>
  <dcterms:created xsi:type="dcterms:W3CDTF">2021-05-05T09:00:00Z</dcterms:created>
  <dcterms:modified xsi:type="dcterms:W3CDTF">2021-05-05T14:33:00Z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0x010100940CD0A7B7E20643B47EF46ED85C1A31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_NewReviewCycle">
    <vt:lpwstr>
    </vt:lpwstr>
  </property>
  <property fmtid="{D5CDD505-2E9C-101B-9397-08002B2CF9AE}" pid="10" name="DmsPermissionsFlags">
    <vt:lpwstr>,SECTRUE,</vt:lpwstr>
  </property>
  <property fmtid="{D5CDD505-2E9C-101B-9397-08002B2CF9AE}" pid="11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2" name="DmsPermissionsUsers">
    <vt:lpwstr>191;#Sandra Remeikienė;#273;#Dalia Vinklerė;#462;#Irma Šopienė;#768;#Erika Simaitė;#247;#Artūras Žarnovskis;#234;#Rasa Suraučienė;#788;#Erika Patupytė</vt:lpwstr>
  </property>
  <property fmtid="{D5CDD505-2E9C-101B-9397-08002B2CF9AE}" pid="13" name="DmsDocPrepDocSendRegReal">
    <vt:bool>false</vt:bool>
  </property>
</Properties>
</file>