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3"/>
        <w:gridCol w:w="5448"/>
      </w:tblGrid>
      <w:tr w:rsidR="00750066" w14:paraId="1DBF9B1D" w14:textId="77777777" w:rsidTr="005870FC">
        <w:trPr>
          <w:trHeight w:val="1716"/>
        </w:trPr>
        <w:tc>
          <w:tcPr>
            <w:tcW w:w="3873" w:type="dxa"/>
          </w:tcPr>
          <w:p w14:paraId="52677D82" w14:textId="77777777" w:rsidR="00750066" w:rsidRDefault="00750066" w:rsidP="00B3457E">
            <w:pPr>
              <w:spacing w:after="0" w:line="240" w:lineRule="auto"/>
              <w:jc w:val="both"/>
              <w:rPr>
                <w:rFonts w:ascii="Times New Roman" w:hAnsi="Times New Roman"/>
                <w:bCs/>
                <w:sz w:val="24"/>
                <w:szCs w:val="24"/>
              </w:rPr>
            </w:pPr>
          </w:p>
        </w:tc>
        <w:tc>
          <w:tcPr>
            <w:tcW w:w="5448" w:type="dxa"/>
          </w:tcPr>
          <w:p w14:paraId="6746B2AD" w14:textId="5B3EB850" w:rsidR="00750066" w:rsidRDefault="00997679" w:rsidP="00B3457E">
            <w:pPr>
              <w:spacing w:after="0" w:line="240" w:lineRule="auto"/>
              <w:rPr>
                <w:rFonts w:ascii="Times New Roman" w:hAnsi="Times New Roman"/>
                <w:bCs/>
                <w:sz w:val="24"/>
                <w:szCs w:val="24"/>
              </w:rPr>
            </w:pPr>
            <w:r>
              <w:rPr>
                <w:rFonts w:ascii="Times New Roman" w:hAnsi="Times New Roman"/>
                <w:bCs/>
                <w:sz w:val="24"/>
                <w:szCs w:val="24"/>
              </w:rPr>
              <w:t>PATVIRTINTA</w:t>
            </w:r>
          </w:p>
          <w:p w14:paraId="1E417782" w14:textId="77777777" w:rsidR="00750066" w:rsidRDefault="00750066" w:rsidP="00B3457E">
            <w:pPr>
              <w:spacing w:after="0" w:line="240" w:lineRule="auto"/>
              <w:rPr>
                <w:rFonts w:ascii="Times New Roman" w:hAnsi="Times New Roman"/>
                <w:sz w:val="24"/>
                <w:szCs w:val="24"/>
              </w:rPr>
            </w:pPr>
            <w:r w:rsidRPr="00230409">
              <w:rPr>
                <w:rFonts w:ascii="Times New Roman" w:hAnsi="Times New Roman"/>
                <w:sz w:val="24"/>
                <w:szCs w:val="24"/>
              </w:rPr>
              <w:t>Viešosios įstaigos Centrinės projektų</w:t>
            </w:r>
            <w:r>
              <w:rPr>
                <w:rFonts w:ascii="Times New Roman" w:hAnsi="Times New Roman"/>
                <w:sz w:val="24"/>
                <w:szCs w:val="24"/>
              </w:rPr>
              <w:t xml:space="preserve"> </w:t>
            </w:r>
            <w:r w:rsidRPr="00230409">
              <w:rPr>
                <w:rFonts w:ascii="Times New Roman" w:hAnsi="Times New Roman"/>
                <w:sz w:val="24"/>
                <w:szCs w:val="24"/>
              </w:rPr>
              <w:t xml:space="preserve">valdymo agentūros direktoriaus </w:t>
            </w:r>
            <w:r>
              <w:rPr>
                <w:rFonts w:ascii="Times New Roman" w:hAnsi="Times New Roman"/>
                <w:sz w:val="24"/>
                <w:szCs w:val="24"/>
              </w:rPr>
              <w:t xml:space="preserve">pavaduotojo </w:t>
            </w:r>
          </w:p>
          <w:p w14:paraId="509275D7" w14:textId="2472333A" w:rsidR="00750066" w:rsidRPr="00657CA2" w:rsidRDefault="00750066" w:rsidP="003E2D4B">
            <w:pPr>
              <w:spacing w:after="0" w:line="240" w:lineRule="auto"/>
              <w:rPr>
                <w:rFonts w:ascii="Times New Roman" w:hAnsi="Times New Roman"/>
                <w:sz w:val="24"/>
                <w:szCs w:val="24"/>
              </w:rPr>
            </w:pPr>
            <w:r w:rsidRPr="00230409">
              <w:rPr>
                <w:rFonts w:ascii="Times New Roman" w:hAnsi="Times New Roman"/>
                <w:sz w:val="24"/>
                <w:szCs w:val="24"/>
              </w:rPr>
              <w:t>20</w:t>
            </w:r>
            <w:r w:rsidR="005870FC">
              <w:rPr>
                <w:rFonts w:ascii="Times New Roman" w:hAnsi="Times New Roman"/>
                <w:sz w:val="24"/>
                <w:szCs w:val="24"/>
              </w:rPr>
              <w:t>20</w:t>
            </w:r>
            <w:r w:rsidRPr="00230409">
              <w:rPr>
                <w:rFonts w:ascii="Times New Roman" w:hAnsi="Times New Roman"/>
                <w:sz w:val="24"/>
                <w:szCs w:val="24"/>
              </w:rPr>
              <w:t xml:space="preserve"> m.</w:t>
            </w:r>
            <w:r>
              <w:rPr>
                <w:rFonts w:ascii="Times New Roman" w:hAnsi="Times New Roman"/>
                <w:sz w:val="24"/>
                <w:szCs w:val="24"/>
              </w:rPr>
              <w:t xml:space="preserve"> </w:t>
            </w:r>
            <w:r w:rsidR="005870FC">
              <w:rPr>
                <w:rFonts w:ascii="Times New Roman" w:hAnsi="Times New Roman"/>
                <w:sz w:val="24"/>
                <w:szCs w:val="24"/>
              </w:rPr>
              <w:t>spalio</w:t>
            </w:r>
            <w:r w:rsidR="00762E4F">
              <w:rPr>
                <w:rFonts w:ascii="Times New Roman" w:hAnsi="Times New Roman"/>
                <w:sz w:val="24"/>
                <w:szCs w:val="24"/>
              </w:rPr>
              <w:t xml:space="preserve"> </w:t>
            </w:r>
            <w:r w:rsidR="003E2D4B">
              <w:rPr>
                <w:rFonts w:ascii="Times New Roman" w:hAnsi="Times New Roman"/>
                <w:sz w:val="24"/>
                <w:szCs w:val="24"/>
              </w:rPr>
              <w:t>23</w:t>
            </w:r>
            <w:r>
              <w:rPr>
                <w:rFonts w:ascii="Times New Roman" w:hAnsi="Times New Roman"/>
                <w:sz w:val="24"/>
                <w:szCs w:val="24"/>
              </w:rPr>
              <w:t xml:space="preserve"> d. potvarkiu </w:t>
            </w:r>
            <w:r w:rsidRPr="00230409">
              <w:rPr>
                <w:rFonts w:ascii="Times New Roman" w:hAnsi="Times New Roman"/>
                <w:sz w:val="24"/>
                <w:szCs w:val="24"/>
              </w:rPr>
              <w:t>Nr.</w:t>
            </w:r>
            <w:r w:rsidR="005870FC">
              <w:rPr>
                <w:rFonts w:ascii="Times New Roman" w:hAnsi="Times New Roman"/>
                <w:sz w:val="24"/>
                <w:szCs w:val="24"/>
              </w:rPr>
              <w:t xml:space="preserve"> DR-20-2-2020</w:t>
            </w:r>
            <w:r w:rsidR="00762E4F">
              <w:rPr>
                <w:rFonts w:ascii="Times New Roman" w:hAnsi="Times New Roman"/>
                <w:sz w:val="24"/>
                <w:szCs w:val="24"/>
              </w:rPr>
              <w:t>-</w:t>
            </w:r>
            <w:r w:rsidR="003E2D4B">
              <w:rPr>
                <w:rFonts w:ascii="Times New Roman" w:hAnsi="Times New Roman"/>
                <w:sz w:val="24"/>
                <w:szCs w:val="24"/>
              </w:rPr>
              <w:t>45</w:t>
            </w:r>
          </w:p>
        </w:tc>
      </w:tr>
    </w:tbl>
    <w:p w14:paraId="5AAE717D" w14:textId="77777777" w:rsidR="00750066" w:rsidRDefault="00750066" w:rsidP="00E3160E">
      <w:pPr>
        <w:spacing w:after="0" w:line="360" w:lineRule="auto"/>
        <w:jc w:val="center"/>
        <w:rPr>
          <w:rFonts w:ascii="Times New Roman" w:hAnsi="Times New Roman"/>
          <w:b/>
          <w:bCs/>
          <w:sz w:val="24"/>
          <w:szCs w:val="24"/>
        </w:rPr>
      </w:pPr>
      <w:r>
        <w:rPr>
          <w:rFonts w:ascii="Times New Roman" w:hAnsi="Times New Roman"/>
          <w:b/>
          <w:bCs/>
          <w:sz w:val="24"/>
          <w:szCs w:val="24"/>
        </w:rPr>
        <w:t>PROJEKTO</w:t>
      </w:r>
      <w:r w:rsidRPr="00DC54CE">
        <w:rPr>
          <w:rFonts w:ascii="Times New Roman" w:hAnsi="Times New Roman"/>
          <w:b/>
          <w:bCs/>
          <w:sz w:val="24"/>
          <w:szCs w:val="24"/>
        </w:rPr>
        <w:t xml:space="preserve"> </w:t>
      </w:r>
      <w:r>
        <w:rPr>
          <w:rFonts w:ascii="Times New Roman" w:hAnsi="Times New Roman"/>
          <w:b/>
          <w:bCs/>
          <w:sz w:val="24"/>
          <w:szCs w:val="24"/>
        </w:rPr>
        <w:t xml:space="preserve">NETIESIOGINIŲ IŠLAIDŲ PERSKAIČAVIMO METODIKA </w:t>
      </w:r>
    </w:p>
    <w:p w14:paraId="7144ACF6" w14:textId="77777777" w:rsidR="00E3160E" w:rsidRDefault="00E3160E" w:rsidP="00E3160E">
      <w:pPr>
        <w:spacing w:after="0" w:line="240" w:lineRule="auto"/>
        <w:jc w:val="center"/>
        <w:rPr>
          <w:rFonts w:ascii="Times New Roman" w:hAnsi="Times New Roman"/>
          <w:sz w:val="24"/>
          <w:szCs w:val="24"/>
          <w:lang w:eastAsia="en-GB"/>
        </w:rPr>
      </w:pPr>
    </w:p>
    <w:p w14:paraId="72AC506D" w14:textId="79652EDE" w:rsidR="00750066" w:rsidRPr="005870FC" w:rsidRDefault="00750066" w:rsidP="00E3160E">
      <w:pPr>
        <w:pStyle w:val="ListParagraph"/>
        <w:tabs>
          <w:tab w:val="left" w:pos="1418"/>
        </w:tabs>
        <w:spacing w:after="0" w:line="240" w:lineRule="auto"/>
        <w:ind w:left="0" w:firstLine="709"/>
        <w:jc w:val="both"/>
        <w:rPr>
          <w:rFonts w:ascii="Times New Roman" w:hAnsi="Times New Roman"/>
          <w:sz w:val="24"/>
          <w:szCs w:val="24"/>
        </w:rPr>
      </w:pPr>
      <w:r w:rsidRPr="00B102AC">
        <w:rPr>
          <w:rFonts w:ascii="Times New Roman" w:hAnsi="Times New Roman"/>
          <w:sz w:val="24"/>
          <w:szCs w:val="24"/>
        </w:rPr>
        <w:t>1.</w:t>
      </w:r>
      <w:r>
        <w:rPr>
          <w:rFonts w:ascii="Times New Roman" w:hAnsi="Times New Roman"/>
          <w:sz w:val="24"/>
          <w:szCs w:val="24"/>
        </w:rPr>
        <w:t xml:space="preserve"> Ši projekto netiesioginių išlaidų perskaičiavimo metodika</w:t>
      </w:r>
      <w:r w:rsidR="00315450">
        <w:rPr>
          <w:rFonts w:ascii="Times New Roman" w:hAnsi="Times New Roman"/>
          <w:sz w:val="24"/>
          <w:szCs w:val="24"/>
        </w:rPr>
        <w:t xml:space="preserve"> (toliau – Metodika)</w:t>
      </w:r>
      <w:r w:rsidRPr="00B102AC">
        <w:rPr>
          <w:rFonts w:ascii="Times New Roman" w:hAnsi="Times New Roman"/>
          <w:sz w:val="24"/>
          <w:szCs w:val="24"/>
        </w:rPr>
        <w:t xml:space="preserve"> </w:t>
      </w:r>
      <w:r>
        <w:rPr>
          <w:rFonts w:ascii="Times New Roman" w:hAnsi="Times New Roman"/>
          <w:sz w:val="24"/>
          <w:szCs w:val="24"/>
        </w:rPr>
        <w:t xml:space="preserve">taikoma 2014–2021 m. Norvegijos finansinio mechanizmo ir Europos ekonominės erdvės finansinio mechanizmo programų, kurių programos operatorius yra CPVA, projektams, </w:t>
      </w:r>
      <w:r w:rsidRPr="003B3C17">
        <w:rPr>
          <w:rFonts w:ascii="Times New Roman" w:hAnsi="Times New Roman"/>
          <w:sz w:val="24"/>
          <w:szCs w:val="24"/>
        </w:rPr>
        <w:t xml:space="preserve">kai </w:t>
      </w:r>
      <w:r w:rsidRPr="003F59DD">
        <w:rPr>
          <w:rFonts w:ascii="Times New Roman" w:hAnsi="Times New Roman"/>
          <w:sz w:val="24"/>
          <w:szCs w:val="24"/>
        </w:rPr>
        <w:t>projekto vykdytoj</w:t>
      </w:r>
      <w:r w:rsidR="0047639C" w:rsidRPr="003F59DD">
        <w:rPr>
          <w:rFonts w:ascii="Times New Roman" w:hAnsi="Times New Roman"/>
          <w:sz w:val="24"/>
          <w:szCs w:val="24"/>
        </w:rPr>
        <w:t>o</w:t>
      </w:r>
      <w:r w:rsidRPr="003F59DD">
        <w:rPr>
          <w:rFonts w:ascii="Times New Roman" w:hAnsi="Times New Roman"/>
          <w:sz w:val="24"/>
          <w:szCs w:val="24"/>
        </w:rPr>
        <w:t xml:space="preserve"> ir (arba) partneri</w:t>
      </w:r>
      <w:r w:rsidR="0047639C" w:rsidRPr="003F59DD">
        <w:rPr>
          <w:rFonts w:ascii="Times New Roman" w:hAnsi="Times New Roman"/>
          <w:sz w:val="24"/>
          <w:szCs w:val="24"/>
        </w:rPr>
        <w:t>o</w:t>
      </w:r>
      <w:r w:rsidRPr="003F59DD">
        <w:rPr>
          <w:rFonts w:ascii="Times New Roman" w:hAnsi="Times New Roman"/>
          <w:sz w:val="24"/>
          <w:szCs w:val="24"/>
        </w:rPr>
        <w:t xml:space="preserve"> netiesioginių išlaidų apmokėjimui pasirinktas</w:t>
      </w:r>
      <w:r w:rsidRPr="005870FC">
        <w:rPr>
          <w:rFonts w:ascii="Times New Roman" w:hAnsi="Times New Roman"/>
          <w:sz w:val="24"/>
          <w:szCs w:val="24"/>
        </w:rPr>
        <w:t xml:space="preserve"> ir projekto įgyvendinimo sutartyje nustatytas </w:t>
      </w:r>
      <w:r w:rsidR="0048751D">
        <w:rPr>
          <w:rFonts w:ascii="Times New Roman" w:hAnsi="Times New Roman"/>
          <w:sz w:val="24"/>
          <w:szCs w:val="24"/>
        </w:rPr>
        <w:t xml:space="preserve">netiesioginių išlaidų apmokėjimo </w:t>
      </w:r>
      <w:r w:rsidRPr="005870FC">
        <w:rPr>
          <w:rFonts w:ascii="Times New Roman" w:hAnsi="Times New Roman"/>
          <w:sz w:val="24"/>
          <w:szCs w:val="24"/>
        </w:rPr>
        <w:t xml:space="preserve">būdas bei </w:t>
      </w:r>
      <w:r w:rsidR="0048751D">
        <w:rPr>
          <w:rFonts w:ascii="Times New Roman" w:hAnsi="Times New Roman"/>
          <w:sz w:val="24"/>
          <w:szCs w:val="24"/>
        </w:rPr>
        <w:t xml:space="preserve">nustatyta </w:t>
      </w:r>
      <w:r w:rsidRPr="005870FC">
        <w:rPr>
          <w:rFonts w:ascii="Times New Roman" w:hAnsi="Times New Roman"/>
          <w:sz w:val="24"/>
          <w:szCs w:val="24"/>
        </w:rPr>
        <w:t>fiksuotojo dydžio norma (toliau – FDN) pagal</w:t>
      </w:r>
      <w:r w:rsidR="0082648E" w:rsidRPr="005870FC">
        <w:rPr>
          <w:rFonts w:ascii="Times New Roman" w:hAnsi="Times New Roman"/>
          <w:sz w:val="24"/>
          <w:szCs w:val="24"/>
        </w:rPr>
        <w:t xml:space="preserve"> Reglamentų</w:t>
      </w:r>
      <w:r w:rsidR="0082648E" w:rsidRPr="005870FC">
        <w:rPr>
          <w:rStyle w:val="FootnoteReference"/>
          <w:rFonts w:ascii="Times New Roman" w:hAnsi="Times New Roman"/>
          <w:sz w:val="24"/>
          <w:szCs w:val="24"/>
        </w:rPr>
        <w:footnoteReference w:id="1"/>
      </w:r>
      <w:r w:rsidR="0082648E" w:rsidRPr="005870FC">
        <w:rPr>
          <w:rFonts w:ascii="Times New Roman" w:hAnsi="Times New Roman"/>
          <w:sz w:val="24"/>
          <w:szCs w:val="24"/>
        </w:rPr>
        <w:t xml:space="preserve"> 8.5 straipsnio</w:t>
      </w:r>
      <w:r w:rsidRPr="005870FC">
        <w:rPr>
          <w:rFonts w:ascii="Times New Roman" w:hAnsi="Times New Roman"/>
          <w:sz w:val="24"/>
          <w:szCs w:val="24"/>
        </w:rPr>
        <w:t>:</w:t>
      </w:r>
      <w:bookmarkStart w:id="0" w:name="_GoBack"/>
      <w:bookmarkEnd w:id="0"/>
    </w:p>
    <w:p w14:paraId="57965790" w14:textId="77777777" w:rsidR="00750066" w:rsidRPr="005870FC" w:rsidRDefault="00750066" w:rsidP="00E3160E">
      <w:pPr>
        <w:spacing w:after="0" w:line="240" w:lineRule="auto"/>
        <w:ind w:firstLine="709"/>
        <w:jc w:val="both"/>
        <w:rPr>
          <w:rFonts w:ascii="Times New Roman" w:hAnsi="Times New Roman"/>
          <w:sz w:val="24"/>
          <w:szCs w:val="24"/>
        </w:rPr>
      </w:pPr>
      <w:r w:rsidRPr="005870FC">
        <w:rPr>
          <w:rFonts w:ascii="Times New Roman" w:hAnsi="Times New Roman"/>
          <w:sz w:val="24"/>
          <w:szCs w:val="24"/>
        </w:rPr>
        <w:lastRenderedPageBreak/>
        <w:t>1</w:t>
      </w:r>
      <w:r w:rsidR="00C41533" w:rsidRPr="005870FC">
        <w:rPr>
          <w:rFonts w:ascii="Times New Roman" w:hAnsi="Times New Roman"/>
          <w:sz w:val="24"/>
          <w:szCs w:val="24"/>
        </w:rPr>
        <w:t>.1</w:t>
      </w:r>
      <w:r w:rsidRPr="005870FC">
        <w:rPr>
          <w:rFonts w:ascii="Times New Roman" w:hAnsi="Times New Roman"/>
          <w:sz w:val="24"/>
          <w:szCs w:val="24"/>
        </w:rPr>
        <w:t xml:space="preserve">. 1(b) dalį - kai netiesioginės išlaidos apmokamos supaprastintai, taikant FDN, sudarančią iki 25 procentų visų tiesioginių tinkamų finansuoti išlaidų, išskyrus tiesiogines išlaidas, skirtas subrangai, ir trečiųjų šalių suteiktų išteklių, kurie nėra naudojami projekto vykdytojo ar projekto partnerio patalpose, išlaidas, </w:t>
      </w:r>
      <w:r w:rsidR="00B160D6" w:rsidRPr="005870FC">
        <w:rPr>
          <w:rFonts w:ascii="Times New Roman" w:hAnsi="Times New Roman"/>
          <w:sz w:val="24"/>
          <w:szCs w:val="24"/>
        </w:rPr>
        <w:t>kai FDN nustatyta</w:t>
      </w:r>
      <w:r w:rsidRPr="005870FC">
        <w:rPr>
          <w:rFonts w:ascii="Times New Roman" w:hAnsi="Times New Roman"/>
          <w:sz w:val="24"/>
          <w:szCs w:val="24"/>
        </w:rPr>
        <w:t xml:space="preserve"> pagal</w:t>
      </w:r>
      <w:r w:rsidR="0047639C" w:rsidRPr="005870FC">
        <w:rPr>
          <w:rFonts w:ascii="Times New Roman" w:hAnsi="Times New Roman"/>
          <w:sz w:val="24"/>
          <w:szCs w:val="24"/>
        </w:rPr>
        <w:t xml:space="preserve"> Viešosios įstaigos Centrinės projektų valdymo agentūros direktoriaus pavaduotojo 2019 m. liepos </w:t>
      </w:r>
      <w:r w:rsidR="0082648E" w:rsidRPr="005870FC">
        <w:rPr>
          <w:rFonts w:ascii="Times New Roman" w:hAnsi="Times New Roman"/>
          <w:sz w:val="24"/>
          <w:szCs w:val="24"/>
        </w:rPr>
        <w:t>23</w:t>
      </w:r>
      <w:r w:rsidR="0047639C" w:rsidRPr="005870FC">
        <w:rPr>
          <w:rFonts w:ascii="Times New Roman" w:hAnsi="Times New Roman"/>
          <w:sz w:val="24"/>
          <w:szCs w:val="24"/>
        </w:rPr>
        <w:t xml:space="preserve"> d. potvarkiu Nr. DR-20-2-2019-</w:t>
      </w:r>
      <w:r w:rsidR="0082648E" w:rsidRPr="005870FC">
        <w:rPr>
          <w:rFonts w:ascii="Times New Roman" w:hAnsi="Times New Roman"/>
          <w:sz w:val="24"/>
          <w:szCs w:val="24"/>
        </w:rPr>
        <w:t>10</w:t>
      </w:r>
      <w:r w:rsidRPr="005870FC">
        <w:rPr>
          <w:rFonts w:ascii="Times New Roman" w:hAnsi="Times New Roman"/>
          <w:sz w:val="24"/>
          <w:szCs w:val="24"/>
        </w:rPr>
        <w:t xml:space="preserve"> </w:t>
      </w:r>
      <w:r w:rsidR="0047639C" w:rsidRPr="005870FC">
        <w:rPr>
          <w:rFonts w:ascii="Times New Roman" w:hAnsi="Times New Roman"/>
          <w:sz w:val="24"/>
          <w:szCs w:val="24"/>
        </w:rPr>
        <w:t>patvirtintą „Fiksuotojo dydžio normos projekto netiesioginėms išlaidoms apskaičiuoti nustatymo ir taikymo metodiką“</w:t>
      </w:r>
      <w:r w:rsidR="00C41533" w:rsidRPr="005870FC">
        <w:rPr>
          <w:rFonts w:ascii="Times New Roman" w:hAnsi="Times New Roman"/>
          <w:sz w:val="24"/>
          <w:szCs w:val="24"/>
        </w:rPr>
        <w:t>,</w:t>
      </w:r>
      <w:r w:rsidR="0082648E" w:rsidRPr="005870FC">
        <w:rPr>
          <w:rFonts w:ascii="Times New Roman" w:hAnsi="Times New Roman"/>
          <w:sz w:val="24"/>
          <w:szCs w:val="24"/>
        </w:rPr>
        <w:t xml:space="preserve"> ir (arba)</w:t>
      </w:r>
    </w:p>
    <w:p w14:paraId="3DAA13CB" w14:textId="77777777" w:rsidR="0082648E" w:rsidRDefault="005870FC" w:rsidP="00E3160E">
      <w:pPr>
        <w:spacing w:after="0" w:line="240" w:lineRule="auto"/>
        <w:ind w:firstLine="709"/>
        <w:jc w:val="both"/>
        <w:rPr>
          <w:rFonts w:ascii="Times New Roman" w:hAnsi="Times New Roman"/>
          <w:sz w:val="24"/>
          <w:szCs w:val="24"/>
        </w:rPr>
      </w:pPr>
      <w:r w:rsidRPr="005870FC">
        <w:rPr>
          <w:rFonts w:ascii="Times New Roman" w:hAnsi="Times New Roman"/>
          <w:sz w:val="24"/>
          <w:szCs w:val="24"/>
        </w:rPr>
        <w:t>1.2</w:t>
      </w:r>
      <w:r w:rsidR="0082648E" w:rsidRPr="005870FC">
        <w:rPr>
          <w:rFonts w:ascii="Times New Roman" w:hAnsi="Times New Roman"/>
          <w:sz w:val="24"/>
          <w:szCs w:val="24"/>
        </w:rPr>
        <w:t xml:space="preserve">. </w:t>
      </w:r>
      <w:r w:rsidR="00C41533" w:rsidRPr="005870FC">
        <w:rPr>
          <w:rFonts w:ascii="Times New Roman" w:hAnsi="Times New Roman"/>
          <w:sz w:val="24"/>
          <w:szCs w:val="24"/>
        </w:rPr>
        <w:t>1(c</w:t>
      </w:r>
      <w:r w:rsidR="0082648E" w:rsidRPr="005870FC">
        <w:rPr>
          <w:rFonts w:ascii="Times New Roman" w:hAnsi="Times New Roman"/>
          <w:sz w:val="24"/>
          <w:szCs w:val="24"/>
        </w:rPr>
        <w:t>) dalį – kai netiesioginės išlaidos apmokamos supaprastintai, taikant FDN, sudarančią iki 15 procentų visų tinkamų finansuoti darbo užmokesčio</w:t>
      </w:r>
      <w:r w:rsidR="0082648E" w:rsidRPr="00750066">
        <w:rPr>
          <w:rFonts w:ascii="Times New Roman" w:hAnsi="Times New Roman"/>
          <w:sz w:val="24"/>
          <w:szCs w:val="24"/>
        </w:rPr>
        <w:t xml:space="preserve"> išlaidų</w:t>
      </w:r>
      <w:r w:rsidR="00C613C6">
        <w:rPr>
          <w:rFonts w:ascii="Times New Roman" w:hAnsi="Times New Roman"/>
          <w:sz w:val="24"/>
          <w:szCs w:val="24"/>
        </w:rPr>
        <w:t>.</w:t>
      </w:r>
    </w:p>
    <w:p w14:paraId="40C61C7A" w14:textId="7F1595E9" w:rsidR="00B160D6" w:rsidRDefault="00B160D6" w:rsidP="00E3160E">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A253EB">
        <w:rPr>
          <w:rFonts w:ascii="Times New Roman" w:hAnsi="Times New Roman"/>
          <w:sz w:val="24"/>
          <w:szCs w:val="24"/>
        </w:rPr>
        <w:t xml:space="preserve">Netiesioginių išlaidų apmokėjimo būdas ir </w:t>
      </w:r>
      <w:r>
        <w:rPr>
          <w:rFonts w:ascii="Times New Roman" w:hAnsi="Times New Roman"/>
          <w:sz w:val="24"/>
          <w:szCs w:val="24"/>
        </w:rPr>
        <w:t>FDN projekto vykdytojo ir (arba)</w:t>
      </w:r>
      <w:r w:rsidRPr="00B102AC">
        <w:rPr>
          <w:rFonts w:ascii="Times New Roman" w:hAnsi="Times New Roman"/>
          <w:sz w:val="24"/>
          <w:szCs w:val="24"/>
        </w:rPr>
        <w:t xml:space="preserve"> </w:t>
      </w:r>
      <w:r>
        <w:rPr>
          <w:rFonts w:ascii="Times New Roman" w:hAnsi="Times New Roman"/>
          <w:sz w:val="24"/>
          <w:szCs w:val="24"/>
        </w:rPr>
        <w:t xml:space="preserve">projekto partnerio netiesioginėms </w:t>
      </w:r>
      <w:r>
        <w:rPr>
          <w:rFonts w:ascii="Times New Roman" w:hAnsi="Times New Roman"/>
          <w:sz w:val="24"/>
          <w:szCs w:val="24"/>
        </w:rPr>
        <w:lastRenderedPageBreak/>
        <w:t>projekto išlaidoms apmokėti</w:t>
      </w:r>
      <w:r w:rsidR="00DA5671">
        <w:rPr>
          <w:rFonts w:ascii="Times New Roman" w:hAnsi="Times New Roman"/>
          <w:sz w:val="24"/>
          <w:szCs w:val="24"/>
        </w:rPr>
        <w:t xml:space="preserve"> nustatomi </w:t>
      </w:r>
      <w:r>
        <w:rPr>
          <w:rFonts w:ascii="Times New Roman" w:hAnsi="Times New Roman"/>
          <w:sz w:val="24"/>
          <w:szCs w:val="24"/>
        </w:rPr>
        <w:t>p</w:t>
      </w:r>
      <w:r w:rsidR="00D7514A">
        <w:rPr>
          <w:rFonts w:ascii="Times New Roman" w:hAnsi="Times New Roman"/>
          <w:sz w:val="24"/>
          <w:szCs w:val="24"/>
        </w:rPr>
        <w:t>rojekto įgyvendinimo sutartyje</w:t>
      </w:r>
      <w:r w:rsidR="00103617">
        <w:rPr>
          <w:rFonts w:ascii="Times New Roman" w:hAnsi="Times New Roman"/>
          <w:sz w:val="24"/>
          <w:szCs w:val="24"/>
        </w:rPr>
        <w:t xml:space="preserve"> </w:t>
      </w:r>
      <w:r w:rsidR="006F0DB2">
        <w:rPr>
          <w:rFonts w:ascii="Times New Roman" w:hAnsi="Times New Roman"/>
          <w:sz w:val="24"/>
          <w:szCs w:val="24"/>
        </w:rPr>
        <w:t xml:space="preserve">ir </w:t>
      </w:r>
      <w:r>
        <w:rPr>
          <w:rFonts w:ascii="Times New Roman" w:hAnsi="Times New Roman"/>
          <w:sz w:val="24"/>
          <w:szCs w:val="24"/>
        </w:rPr>
        <w:t>proje</w:t>
      </w:r>
      <w:r w:rsidR="00A253EB">
        <w:rPr>
          <w:rFonts w:ascii="Times New Roman" w:hAnsi="Times New Roman"/>
          <w:sz w:val="24"/>
          <w:szCs w:val="24"/>
        </w:rPr>
        <w:t>kto įgyvendinimo metu nekeičiami</w:t>
      </w:r>
      <w:r>
        <w:rPr>
          <w:rFonts w:ascii="Times New Roman" w:hAnsi="Times New Roman"/>
          <w:sz w:val="24"/>
          <w:szCs w:val="24"/>
        </w:rPr>
        <w:t>.</w:t>
      </w:r>
      <w:r w:rsidR="00E3160E">
        <w:rPr>
          <w:rFonts w:ascii="Times New Roman" w:hAnsi="Times New Roman"/>
          <w:sz w:val="24"/>
          <w:szCs w:val="24"/>
        </w:rPr>
        <w:t xml:space="preserve"> </w:t>
      </w:r>
    </w:p>
    <w:p w14:paraId="0B3F43F9" w14:textId="490DCD0F" w:rsidR="006009CC" w:rsidRDefault="006009CC" w:rsidP="00E3160E">
      <w:pPr>
        <w:spacing w:after="0" w:line="240" w:lineRule="auto"/>
        <w:ind w:firstLine="720"/>
        <w:jc w:val="both"/>
        <w:rPr>
          <w:rFonts w:ascii="Times New Roman" w:hAnsi="Times New Roman"/>
          <w:sz w:val="24"/>
          <w:szCs w:val="24"/>
        </w:rPr>
      </w:pPr>
      <w:r>
        <w:rPr>
          <w:rFonts w:ascii="Times New Roman" w:hAnsi="Times New Roman"/>
          <w:sz w:val="24"/>
          <w:szCs w:val="24"/>
        </w:rPr>
        <w:t xml:space="preserve">3. Projekto vykdytojas </w:t>
      </w:r>
      <w:r w:rsidR="00BA6C6F">
        <w:rPr>
          <w:rFonts w:ascii="Times New Roman" w:hAnsi="Times New Roman"/>
          <w:sz w:val="24"/>
          <w:szCs w:val="24"/>
        </w:rPr>
        <w:t xml:space="preserve">projekto įgyvendinimo laikotarpiu </w:t>
      </w:r>
      <w:r>
        <w:rPr>
          <w:rFonts w:ascii="Times New Roman" w:hAnsi="Times New Roman"/>
          <w:sz w:val="24"/>
          <w:szCs w:val="24"/>
        </w:rPr>
        <w:t xml:space="preserve">gali kreiptis į CPVA </w:t>
      </w:r>
      <w:r w:rsidR="00764A0F">
        <w:rPr>
          <w:rFonts w:ascii="Times New Roman" w:hAnsi="Times New Roman"/>
          <w:sz w:val="24"/>
          <w:szCs w:val="24"/>
        </w:rPr>
        <w:t xml:space="preserve">su prašymu pakeisti </w:t>
      </w:r>
      <w:r>
        <w:rPr>
          <w:rFonts w:ascii="Times New Roman" w:hAnsi="Times New Roman"/>
          <w:sz w:val="24"/>
          <w:szCs w:val="24"/>
        </w:rPr>
        <w:t>projekto vykdytojui ir (ar</w:t>
      </w:r>
      <w:r w:rsidR="00E3160E">
        <w:rPr>
          <w:rFonts w:ascii="Times New Roman" w:hAnsi="Times New Roman"/>
          <w:sz w:val="24"/>
          <w:szCs w:val="24"/>
        </w:rPr>
        <w:t>ba</w:t>
      </w:r>
      <w:r>
        <w:rPr>
          <w:rFonts w:ascii="Times New Roman" w:hAnsi="Times New Roman"/>
          <w:sz w:val="24"/>
          <w:szCs w:val="24"/>
        </w:rPr>
        <w:t>) partneriui projekto biudžete numatyt</w:t>
      </w:r>
      <w:r w:rsidR="00764A0F">
        <w:rPr>
          <w:rFonts w:ascii="Times New Roman" w:hAnsi="Times New Roman"/>
          <w:sz w:val="24"/>
          <w:szCs w:val="24"/>
        </w:rPr>
        <w:t>ą</w:t>
      </w:r>
      <w:r>
        <w:rPr>
          <w:rFonts w:ascii="Times New Roman" w:hAnsi="Times New Roman"/>
          <w:sz w:val="24"/>
          <w:szCs w:val="24"/>
        </w:rPr>
        <w:t xml:space="preserve"> netiesioginių išlaidų sum</w:t>
      </w:r>
      <w:r w:rsidR="00764A0F">
        <w:rPr>
          <w:rFonts w:ascii="Times New Roman" w:hAnsi="Times New Roman"/>
          <w:sz w:val="24"/>
          <w:szCs w:val="24"/>
        </w:rPr>
        <w:t>ą</w:t>
      </w:r>
      <w:r>
        <w:rPr>
          <w:rFonts w:ascii="Times New Roman" w:hAnsi="Times New Roman"/>
          <w:sz w:val="24"/>
          <w:szCs w:val="24"/>
        </w:rPr>
        <w:t xml:space="preserve"> (</w:t>
      </w:r>
      <w:r w:rsidR="00764A0F">
        <w:rPr>
          <w:rFonts w:ascii="Times New Roman" w:hAnsi="Times New Roman"/>
          <w:sz w:val="24"/>
          <w:szCs w:val="24"/>
        </w:rPr>
        <w:t xml:space="preserve">ją </w:t>
      </w:r>
      <w:r>
        <w:rPr>
          <w:rFonts w:ascii="Times New Roman" w:hAnsi="Times New Roman"/>
          <w:sz w:val="24"/>
          <w:szCs w:val="24"/>
        </w:rPr>
        <w:t>padidin</w:t>
      </w:r>
      <w:r w:rsidR="00764A0F">
        <w:rPr>
          <w:rFonts w:ascii="Times New Roman" w:hAnsi="Times New Roman"/>
          <w:sz w:val="24"/>
          <w:szCs w:val="24"/>
        </w:rPr>
        <w:t>ant</w:t>
      </w:r>
      <w:r>
        <w:rPr>
          <w:rFonts w:ascii="Times New Roman" w:hAnsi="Times New Roman"/>
          <w:sz w:val="24"/>
          <w:szCs w:val="24"/>
        </w:rPr>
        <w:t xml:space="preserve"> ar sumažin</w:t>
      </w:r>
      <w:r w:rsidR="00764A0F">
        <w:rPr>
          <w:rFonts w:ascii="Times New Roman" w:hAnsi="Times New Roman"/>
          <w:sz w:val="24"/>
          <w:szCs w:val="24"/>
        </w:rPr>
        <w:t>ant</w:t>
      </w:r>
      <w:r>
        <w:rPr>
          <w:rFonts w:ascii="Times New Roman" w:hAnsi="Times New Roman"/>
          <w:sz w:val="24"/>
          <w:szCs w:val="24"/>
        </w:rPr>
        <w:t>)</w:t>
      </w:r>
      <w:r w:rsidR="00AA776C">
        <w:rPr>
          <w:rFonts w:ascii="Times New Roman" w:hAnsi="Times New Roman"/>
          <w:sz w:val="24"/>
          <w:szCs w:val="24"/>
        </w:rPr>
        <w:t>, kai</w:t>
      </w:r>
      <w:r>
        <w:rPr>
          <w:rFonts w:ascii="Times New Roman" w:hAnsi="Times New Roman"/>
          <w:sz w:val="24"/>
          <w:szCs w:val="24"/>
        </w:rPr>
        <w:t>:</w:t>
      </w:r>
    </w:p>
    <w:p w14:paraId="151F5E28" w14:textId="31809E5A" w:rsidR="006009CC" w:rsidRDefault="006009CC" w:rsidP="00E3160E">
      <w:pPr>
        <w:spacing w:after="0" w:line="240" w:lineRule="auto"/>
        <w:ind w:firstLine="720"/>
        <w:jc w:val="both"/>
        <w:rPr>
          <w:rFonts w:ascii="Times New Roman" w:hAnsi="Times New Roman"/>
          <w:sz w:val="24"/>
          <w:szCs w:val="24"/>
        </w:rPr>
      </w:pPr>
      <w:r>
        <w:rPr>
          <w:rFonts w:ascii="Times New Roman" w:hAnsi="Times New Roman"/>
          <w:sz w:val="24"/>
          <w:szCs w:val="24"/>
        </w:rPr>
        <w:t xml:space="preserve">3.1. Pagrįstai pasikeičia tiesioginių išlaidų, kurios yra pagrindas netiesioginių išlaidų apskaičiavimui taikant FDN, </w:t>
      </w:r>
      <w:r w:rsidR="00E35DF6">
        <w:rPr>
          <w:rFonts w:ascii="Times New Roman" w:hAnsi="Times New Roman"/>
          <w:sz w:val="24"/>
          <w:szCs w:val="24"/>
        </w:rPr>
        <w:t xml:space="preserve">sumos projekto biudžete poreikis, </w:t>
      </w:r>
      <w:r>
        <w:rPr>
          <w:rFonts w:ascii="Times New Roman" w:hAnsi="Times New Roman"/>
          <w:sz w:val="24"/>
          <w:szCs w:val="24"/>
        </w:rPr>
        <w:t xml:space="preserve">atsižvelgiant į netiesioginių išlaidų apmokėjimui pasirinktą ir projekto įgyvendinimo sutartyje nustatytą </w:t>
      </w:r>
      <w:r w:rsidR="00AA776C">
        <w:rPr>
          <w:rFonts w:ascii="Times New Roman" w:hAnsi="Times New Roman"/>
          <w:sz w:val="24"/>
          <w:szCs w:val="24"/>
        </w:rPr>
        <w:t xml:space="preserve">netiesioginių išlaidų apmokėjimo </w:t>
      </w:r>
      <w:r>
        <w:rPr>
          <w:rFonts w:ascii="Times New Roman" w:hAnsi="Times New Roman"/>
          <w:sz w:val="24"/>
          <w:szCs w:val="24"/>
        </w:rPr>
        <w:t xml:space="preserve">būdą, kaip numatyta </w:t>
      </w:r>
      <w:r w:rsidR="00764A0F">
        <w:rPr>
          <w:rFonts w:ascii="Times New Roman" w:hAnsi="Times New Roman"/>
          <w:sz w:val="24"/>
          <w:szCs w:val="24"/>
        </w:rPr>
        <w:t xml:space="preserve">Metodikos </w:t>
      </w:r>
      <w:r>
        <w:rPr>
          <w:rFonts w:ascii="Times New Roman" w:hAnsi="Times New Roman"/>
          <w:sz w:val="24"/>
          <w:szCs w:val="24"/>
        </w:rPr>
        <w:t xml:space="preserve">1.1 ir 1.2 punktuose (tiesioginės darbo užmokesčio ir (arba) komandiruočių </w:t>
      </w:r>
      <w:r w:rsidR="005870FC">
        <w:rPr>
          <w:rFonts w:ascii="Times New Roman" w:hAnsi="Times New Roman"/>
          <w:sz w:val="24"/>
          <w:szCs w:val="24"/>
        </w:rPr>
        <w:t>išlaidos</w:t>
      </w:r>
      <w:r>
        <w:rPr>
          <w:rFonts w:ascii="Times New Roman" w:hAnsi="Times New Roman"/>
          <w:sz w:val="24"/>
          <w:szCs w:val="24"/>
        </w:rPr>
        <w:t>) (toliau - pagrindas netiesioginių išlaidų apskaičiavimui taikant FDN).</w:t>
      </w:r>
    </w:p>
    <w:p w14:paraId="6F6BEEEF" w14:textId="2DC122FE" w:rsidR="006009CC" w:rsidRDefault="006009CC" w:rsidP="00E3160E">
      <w:pPr>
        <w:spacing w:after="0" w:line="240" w:lineRule="auto"/>
        <w:ind w:firstLine="720"/>
        <w:jc w:val="both"/>
        <w:rPr>
          <w:rFonts w:ascii="Times New Roman" w:hAnsi="Times New Roman"/>
          <w:sz w:val="24"/>
          <w:szCs w:val="24"/>
        </w:rPr>
      </w:pPr>
      <w:r>
        <w:rPr>
          <w:rFonts w:ascii="Times New Roman" w:hAnsi="Times New Roman"/>
          <w:sz w:val="24"/>
          <w:szCs w:val="24"/>
        </w:rPr>
        <w:t>3.2. Pagr</w:t>
      </w:r>
      <w:r w:rsidR="00E32A60">
        <w:rPr>
          <w:rFonts w:ascii="Times New Roman" w:hAnsi="Times New Roman"/>
          <w:sz w:val="24"/>
          <w:szCs w:val="24"/>
        </w:rPr>
        <w:t>indžiamas</w:t>
      </w:r>
      <w:r>
        <w:rPr>
          <w:rFonts w:ascii="Times New Roman" w:hAnsi="Times New Roman"/>
          <w:sz w:val="24"/>
          <w:szCs w:val="24"/>
        </w:rPr>
        <w:t xml:space="preserve"> kitų tiesioginių išlaidų, kurios projekto biudžete perskirstomos</w:t>
      </w:r>
      <w:r w:rsidR="00BF1564">
        <w:rPr>
          <w:rFonts w:ascii="Times New Roman" w:hAnsi="Times New Roman"/>
          <w:sz w:val="24"/>
          <w:szCs w:val="24"/>
        </w:rPr>
        <w:t xml:space="preserve"> (mažinamos)</w:t>
      </w:r>
      <w:r>
        <w:rPr>
          <w:rFonts w:ascii="Times New Roman" w:hAnsi="Times New Roman"/>
          <w:sz w:val="24"/>
          <w:szCs w:val="24"/>
        </w:rPr>
        <w:t xml:space="preserve"> </w:t>
      </w:r>
      <w:r w:rsidR="005870FC">
        <w:rPr>
          <w:rFonts w:ascii="Times New Roman" w:hAnsi="Times New Roman"/>
          <w:sz w:val="24"/>
          <w:szCs w:val="24"/>
        </w:rPr>
        <w:t xml:space="preserve">pagrįstai </w:t>
      </w:r>
      <w:r>
        <w:rPr>
          <w:rFonts w:ascii="Times New Roman" w:hAnsi="Times New Roman"/>
          <w:sz w:val="24"/>
          <w:szCs w:val="24"/>
        </w:rPr>
        <w:t xml:space="preserve">didinant tiesioginių išlaidų, kurios yra pagrindas netiesioginių išlaidų </w:t>
      </w:r>
      <w:r>
        <w:rPr>
          <w:rFonts w:ascii="Times New Roman" w:hAnsi="Times New Roman"/>
          <w:sz w:val="24"/>
          <w:szCs w:val="24"/>
        </w:rPr>
        <w:lastRenderedPageBreak/>
        <w:t>apskaičiavimui taikant FDN, su</w:t>
      </w:r>
      <w:r w:rsidR="00515913">
        <w:rPr>
          <w:rFonts w:ascii="Times New Roman" w:hAnsi="Times New Roman"/>
          <w:sz w:val="24"/>
          <w:szCs w:val="24"/>
        </w:rPr>
        <w:t>m</w:t>
      </w:r>
      <w:r w:rsidR="00764A0F">
        <w:rPr>
          <w:rFonts w:ascii="Times New Roman" w:hAnsi="Times New Roman"/>
          <w:sz w:val="24"/>
          <w:szCs w:val="24"/>
        </w:rPr>
        <w:t>os sutaupymas</w:t>
      </w:r>
      <w:r w:rsidR="00BF1564">
        <w:rPr>
          <w:rFonts w:ascii="Times New Roman" w:hAnsi="Times New Roman"/>
          <w:sz w:val="24"/>
          <w:szCs w:val="24"/>
        </w:rPr>
        <w:t>,</w:t>
      </w:r>
      <w:r>
        <w:rPr>
          <w:rFonts w:ascii="Times New Roman" w:hAnsi="Times New Roman"/>
          <w:sz w:val="24"/>
          <w:szCs w:val="24"/>
        </w:rPr>
        <w:t xml:space="preserve"> ir (arba) pagr</w:t>
      </w:r>
      <w:r w:rsidR="00764A0F">
        <w:rPr>
          <w:rFonts w:ascii="Times New Roman" w:hAnsi="Times New Roman"/>
          <w:sz w:val="24"/>
          <w:szCs w:val="24"/>
        </w:rPr>
        <w:t>indžiamas</w:t>
      </w:r>
      <w:r w:rsidR="00515913">
        <w:rPr>
          <w:rFonts w:ascii="Times New Roman" w:hAnsi="Times New Roman"/>
          <w:sz w:val="24"/>
          <w:szCs w:val="24"/>
        </w:rPr>
        <w:t xml:space="preserve"> </w:t>
      </w:r>
      <w:r w:rsidR="00BF1564">
        <w:rPr>
          <w:rFonts w:ascii="Times New Roman" w:hAnsi="Times New Roman"/>
          <w:sz w:val="24"/>
          <w:szCs w:val="24"/>
        </w:rPr>
        <w:t>tiesioginių išlaidų, kurios yra pagrindas netiesioginių išlaidų apskaičiavimui taikant FDN</w:t>
      </w:r>
      <w:r w:rsidR="005870FC">
        <w:rPr>
          <w:rFonts w:ascii="Times New Roman" w:hAnsi="Times New Roman"/>
          <w:sz w:val="24"/>
          <w:szCs w:val="24"/>
        </w:rPr>
        <w:t>,</w:t>
      </w:r>
      <w:r w:rsidR="00BF1564">
        <w:rPr>
          <w:rFonts w:ascii="Times New Roman" w:hAnsi="Times New Roman"/>
          <w:sz w:val="24"/>
          <w:szCs w:val="24"/>
        </w:rPr>
        <w:t xml:space="preserve"> jei jos perskirstomos (mažinamos) </w:t>
      </w:r>
      <w:r w:rsidR="005870FC">
        <w:rPr>
          <w:rFonts w:ascii="Times New Roman" w:hAnsi="Times New Roman"/>
          <w:sz w:val="24"/>
          <w:szCs w:val="24"/>
        </w:rPr>
        <w:t xml:space="preserve">pagrįstai </w:t>
      </w:r>
      <w:r>
        <w:rPr>
          <w:rFonts w:ascii="Times New Roman" w:hAnsi="Times New Roman"/>
          <w:sz w:val="24"/>
          <w:szCs w:val="24"/>
        </w:rPr>
        <w:t>didinant kitų išlaidų kategorijų projekto biudžete sumas</w:t>
      </w:r>
      <w:r w:rsidR="00AA776C">
        <w:rPr>
          <w:rFonts w:ascii="Times New Roman" w:hAnsi="Times New Roman"/>
          <w:sz w:val="24"/>
          <w:szCs w:val="24"/>
        </w:rPr>
        <w:t>, sum</w:t>
      </w:r>
      <w:r w:rsidR="00764A0F">
        <w:rPr>
          <w:rFonts w:ascii="Times New Roman" w:hAnsi="Times New Roman"/>
          <w:sz w:val="24"/>
          <w:szCs w:val="24"/>
        </w:rPr>
        <w:t>os sutaupymas</w:t>
      </w:r>
      <w:r>
        <w:rPr>
          <w:rFonts w:ascii="Times New Roman" w:hAnsi="Times New Roman"/>
          <w:sz w:val="24"/>
          <w:szCs w:val="24"/>
        </w:rPr>
        <w:t>.</w:t>
      </w:r>
    </w:p>
    <w:p w14:paraId="1ABA2ED4" w14:textId="08C0C812" w:rsidR="006009CC" w:rsidRDefault="006009CC" w:rsidP="00E3160E">
      <w:pPr>
        <w:spacing w:after="0" w:line="240" w:lineRule="auto"/>
        <w:ind w:firstLine="720"/>
        <w:jc w:val="both"/>
        <w:rPr>
          <w:rFonts w:ascii="Times New Roman" w:hAnsi="Times New Roman"/>
          <w:sz w:val="24"/>
          <w:szCs w:val="24"/>
        </w:rPr>
      </w:pPr>
      <w:r>
        <w:rPr>
          <w:rFonts w:ascii="Times New Roman" w:hAnsi="Times New Roman"/>
          <w:sz w:val="24"/>
          <w:szCs w:val="24"/>
        </w:rPr>
        <w:t>4.</w:t>
      </w:r>
      <w:r w:rsidR="00B20927">
        <w:rPr>
          <w:rFonts w:ascii="Times New Roman" w:hAnsi="Times New Roman"/>
          <w:sz w:val="24"/>
          <w:szCs w:val="24"/>
        </w:rPr>
        <w:t xml:space="preserve"> </w:t>
      </w:r>
      <w:r w:rsidR="00E35DF6">
        <w:rPr>
          <w:rFonts w:ascii="Times New Roman" w:hAnsi="Times New Roman"/>
          <w:sz w:val="24"/>
          <w:szCs w:val="24"/>
        </w:rPr>
        <w:t>N</w:t>
      </w:r>
      <w:r>
        <w:rPr>
          <w:rFonts w:ascii="Times New Roman" w:hAnsi="Times New Roman"/>
          <w:sz w:val="24"/>
          <w:szCs w:val="24"/>
        </w:rPr>
        <w:t>etiesioginių išlaidų suma projekto biudžete gali būti keičiama tik tais atvejais, kai pagrįstai keičia</w:t>
      </w:r>
      <w:r w:rsidR="00515913">
        <w:rPr>
          <w:rFonts w:ascii="Times New Roman" w:hAnsi="Times New Roman"/>
          <w:sz w:val="24"/>
          <w:szCs w:val="24"/>
        </w:rPr>
        <w:t>mos</w:t>
      </w:r>
      <w:r>
        <w:rPr>
          <w:rFonts w:ascii="Times New Roman" w:hAnsi="Times New Roman"/>
          <w:sz w:val="24"/>
          <w:szCs w:val="24"/>
        </w:rPr>
        <w:t xml:space="preserve"> tiesioginių išlaidų, kurios yra pagrindas netiesioginių išlaidų apskaičiavimui taikant FDN, sumos</w:t>
      </w:r>
      <w:r w:rsidR="00B20927">
        <w:rPr>
          <w:rFonts w:ascii="Times New Roman" w:hAnsi="Times New Roman"/>
          <w:sz w:val="24"/>
          <w:szCs w:val="24"/>
        </w:rPr>
        <w:t>,</w:t>
      </w:r>
      <w:r w:rsidR="00626F19">
        <w:rPr>
          <w:rFonts w:ascii="Times New Roman" w:hAnsi="Times New Roman"/>
          <w:sz w:val="24"/>
          <w:szCs w:val="24"/>
        </w:rPr>
        <w:t xml:space="preserve"> </w:t>
      </w:r>
      <w:r w:rsidR="00B20927">
        <w:rPr>
          <w:rFonts w:ascii="Times New Roman" w:hAnsi="Times New Roman"/>
          <w:sz w:val="24"/>
          <w:szCs w:val="24"/>
        </w:rPr>
        <w:t>t. y. tik netiesioginių išlaidų sumos keitimas (didinimas arba mažinimas), perkirstant jas kitoms projekto biudžeto išlaidų kategorijoms, nėra galimas.</w:t>
      </w:r>
    </w:p>
    <w:p w14:paraId="73A332FC" w14:textId="64FF0FFB" w:rsidR="002B2844" w:rsidRDefault="006009CC" w:rsidP="00E3160E">
      <w:pPr>
        <w:spacing w:after="0" w:line="240" w:lineRule="auto"/>
        <w:ind w:firstLine="720"/>
        <w:jc w:val="both"/>
        <w:rPr>
          <w:rFonts w:ascii="Times New Roman" w:hAnsi="Times New Roman"/>
          <w:sz w:val="24"/>
          <w:szCs w:val="24"/>
        </w:rPr>
      </w:pPr>
      <w:r>
        <w:rPr>
          <w:rFonts w:ascii="Times New Roman" w:hAnsi="Times New Roman"/>
          <w:sz w:val="24"/>
          <w:szCs w:val="24"/>
        </w:rPr>
        <w:t>5</w:t>
      </w:r>
      <w:r w:rsidR="00D7514A">
        <w:rPr>
          <w:rFonts w:ascii="Times New Roman" w:hAnsi="Times New Roman"/>
          <w:sz w:val="24"/>
          <w:szCs w:val="24"/>
        </w:rPr>
        <w:t>. Projekto biudžete keičiant</w:t>
      </w:r>
      <w:r w:rsidR="00A253EB">
        <w:rPr>
          <w:rFonts w:ascii="Times New Roman" w:hAnsi="Times New Roman"/>
          <w:sz w:val="24"/>
          <w:szCs w:val="24"/>
        </w:rPr>
        <w:t xml:space="preserve"> (didinant arba mažinant)</w:t>
      </w:r>
      <w:r w:rsidR="00D7514A">
        <w:rPr>
          <w:rFonts w:ascii="Times New Roman" w:hAnsi="Times New Roman"/>
          <w:sz w:val="24"/>
          <w:szCs w:val="24"/>
        </w:rPr>
        <w:t xml:space="preserve"> tiesioginių išlaidų, kurios yra pagrindas netiesioginių išlaidų apskaičiavimui taikant FDN, sumą, </w:t>
      </w:r>
      <w:r w:rsidR="00A253EB">
        <w:rPr>
          <w:rFonts w:ascii="Times New Roman" w:hAnsi="Times New Roman"/>
          <w:sz w:val="24"/>
          <w:szCs w:val="24"/>
        </w:rPr>
        <w:t xml:space="preserve">proporcingai keičiama (didinama arba mažinama) ir </w:t>
      </w:r>
      <w:r>
        <w:rPr>
          <w:rFonts w:ascii="Times New Roman" w:hAnsi="Times New Roman"/>
          <w:sz w:val="24"/>
          <w:szCs w:val="24"/>
        </w:rPr>
        <w:t>netiesioginių išlaidų suma.</w:t>
      </w:r>
      <w:r w:rsidR="006F6749">
        <w:rPr>
          <w:rFonts w:ascii="Times New Roman" w:hAnsi="Times New Roman"/>
          <w:sz w:val="24"/>
          <w:szCs w:val="24"/>
        </w:rPr>
        <w:t xml:space="preserve"> </w:t>
      </w:r>
    </w:p>
    <w:p w14:paraId="56E7E1AF" w14:textId="77777777" w:rsidR="00A253EB" w:rsidRDefault="00A253EB" w:rsidP="00E3160E">
      <w:pPr>
        <w:spacing w:after="0" w:line="240" w:lineRule="auto"/>
        <w:ind w:firstLine="720"/>
        <w:jc w:val="both"/>
        <w:rPr>
          <w:rFonts w:ascii="Times New Roman" w:hAnsi="Times New Roman"/>
          <w:sz w:val="24"/>
          <w:szCs w:val="24"/>
        </w:rPr>
      </w:pPr>
    </w:p>
    <w:tbl>
      <w:tblPr>
        <w:tblStyle w:val="TableGrid"/>
        <w:tblW w:w="0" w:type="auto"/>
        <w:tblLook w:val="04A0" w:firstRow="1" w:lastRow="0" w:firstColumn="1" w:lastColumn="0" w:noHBand="0" w:noVBand="1"/>
      </w:tblPr>
      <w:tblGrid>
        <w:gridCol w:w="9962"/>
      </w:tblGrid>
      <w:tr w:rsidR="002B2844" w14:paraId="57C6D672" w14:textId="77777777" w:rsidTr="002B2844">
        <w:tc>
          <w:tcPr>
            <w:tcW w:w="9962" w:type="dxa"/>
          </w:tcPr>
          <w:p w14:paraId="18C9E565" w14:textId="77777777" w:rsidR="002B2844" w:rsidRPr="009A211B" w:rsidRDefault="002B2844" w:rsidP="00E3160E">
            <w:pPr>
              <w:spacing w:after="0" w:line="240" w:lineRule="auto"/>
              <w:jc w:val="both"/>
              <w:rPr>
                <w:rFonts w:ascii="Times New Roman" w:hAnsi="Times New Roman"/>
                <w:i/>
                <w:sz w:val="20"/>
                <w:szCs w:val="20"/>
              </w:rPr>
            </w:pPr>
            <w:r w:rsidRPr="009A211B">
              <w:rPr>
                <w:rFonts w:ascii="Times New Roman" w:hAnsi="Times New Roman"/>
                <w:i/>
                <w:sz w:val="20"/>
                <w:szCs w:val="20"/>
              </w:rPr>
              <w:t>Pavyzdžiai.</w:t>
            </w:r>
          </w:p>
          <w:p w14:paraId="14721FF9" w14:textId="412136FD" w:rsidR="002B2844" w:rsidRPr="009A211B" w:rsidRDefault="00103617" w:rsidP="00E3160E">
            <w:pPr>
              <w:pStyle w:val="ListParagraph"/>
              <w:numPr>
                <w:ilvl w:val="0"/>
                <w:numId w:val="1"/>
              </w:numPr>
              <w:spacing w:after="0" w:line="240" w:lineRule="auto"/>
              <w:ind w:left="457" w:hanging="457"/>
              <w:jc w:val="both"/>
              <w:rPr>
                <w:rFonts w:ascii="Times New Roman" w:hAnsi="Times New Roman"/>
                <w:i/>
                <w:sz w:val="20"/>
                <w:szCs w:val="20"/>
              </w:rPr>
            </w:pPr>
            <w:r w:rsidRPr="009A211B">
              <w:rPr>
                <w:rFonts w:ascii="Times New Roman" w:hAnsi="Times New Roman"/>
                <w:i/>
                <w:sz w:val="20"/>
                <w:szCs w:val="20"/>
              </w:rPr>
              <w:t xml:space="preserve">Projekto vykdytojo </w:t>
            </w:r>
            <w:r w:rsidR="002B2844" w:rsidRPr="009A211B">
              <w:rPr>
                <w:rFonts w:ascii="Times New Roman" w:hAnsi="Times New Roman"/>
                <w:i/>
                <w:sz w:val="20"/>
                <w:szCs w:val="20"/>
              </w:rPr>
              <w:t xml:space="preserve">netiesioginėms išlaidoms apskaičiuoti taikoma FDN - 15 proc. visų tinkamų finansuoti darbo užmokesčio išlaidų (pasirinktas būdas, numatytas Reglamentų 8.5 straipsnio 1(c) dalyje); prekių ir paslaugų išlaidų kategorijoje sutaupyta 2 000 </w:t>
            </w:r>
            <w:proofErr w:type="spellStart"/>
            <w:r w:rsidR="002B2844" w:rsidRPr="009A211B">
              <w:rPr>
                <w:rFonts w:ascii="Times New Roman" w:hAnsi="Times New Roman"/>
                <w:i/>
                <w:sz w:val="20"/>
                <w:szCs w:val="20"/>
              </w:rPr>
              <w:t>Eur</w:t>
            </w:r>
            <w:proofErr w:type="spellEnd"/>
            <w:r w:rsidR="002B2844" w:rsidRPr="009A211B">
              <w:rPr>
                <w:rFonts w:ascii="Times New Roman" w:hAnsi="Times New Roman"/>
                <w:i/>
                <w:sz w:val="20"/>
                <w:szCs w:val="20"/>
              </w:rPr>
              <w:t xml:space="preserve"> ir sutaupytas lėšas norima perkelti į darbo užmokesčio išlaidų kategoriją; atsižvelgiant į tai, kad didėjant darbo užmokesčio išlaidų sumai biudžete, turėtų didėti ir netiesioginių išlaidų suma, </w:t>
            </w:r>
            <w:r w:rsidR="002B2844" w:rsidRPr="009A211B">
              <w:rPr>
                <w:rFonts w:ascii="Times New Roman" w:hAnsi="Times New Roman"/>
                <w:i/>
                <w:sz w:val="20"/>
                <w:szCs w:val="20"/>
              </w:rPr>
              <w:lastRenderedPageBreak/>
              <w:t>iš prekių ir paslaugų išlaidų kategorijos iškeliam</w:t>
            </w:r>
            <w:r w:rsidR="00796626">
              <w:rPr>
                <w:rFonts w:ascii="Times New Roman" w:hAnsi="Times New Roman"/>
                <w:i/>
                <w:sz w:val="20"/>
                <w:szCs w:val="20"/>
              </w:rPr>
              <w:t>a</w:t>
            </w:r>
            <w:r w:rsidR="002B2844" w:rsidRPr="009A211B">
              <w:rPr>
                <w:rFonts w:ascii="Times New Roman" w:hAnsi="Times New Roman"/>
                <w:i/>
                <w:sz w:val="20"/>
                <w:szCs w:val="20"/>
              </w:rPr>
              <w:t xml:space="preserve"> 2 000 </w:t>
            </w:r>
            <w:proofErr w:type="spellStart"/>
            <w:r w:rsidR="002B2844" w:rsidRPr="009A211B">
              <w:rPr>
                <w:rFonts w:ascii="Times New Roman" w:hAnsi="Times New Roman"/>
                <w:i/>
                <w:sz w:val="20"/>
                <w:szCs w:val="20"/>
              </w:rPr>
              <w:t>Eur</w:t>
            </w:r>
            <w:proofErr w:type="spellEnd"/>
            <w:r w:rsidR="002B2844" w:rsidRPr="009A211B">
              <w:rPr>
                <w:rFonts w:ascii="Times New Roman" w:hAnsi="Times New Roman"/>
                <w:i/>
                <w:sz w:val="20"/>
                <w:szCs w:val="20"/>
              </w:rPr>
              <w:t xml:space="preserve"> </w:t>
            </w:r>
            <w:r w:rsidR="00796626">
              <w:rPr>
                <w:rFonts w:ascii="Times New Roman" w:hAnsi="Times New Roman"/>
                <w:i/>
                <w:sz w:val="20"/>
                <w:szCs w:val="20"/>
              </w:rPr>
              <w:t xml:space="preserve">suma </w:t>
            </w:r>
            <w:r w:rsidR="002B2844" w:rsidRPr="009A211B">
              <w:rPr>
                <w:rFonts w:ascii="Times New Roman" w:hAnsi="Times New Roman"/>
                <w:i/>
                <w:sz w:val="20"/>
                <w:szCs w:val="20"/>
              </w:rPr>
              <w:t>biudžete perski</w:t>
            </w:r>
            <w:r w:rsidR="00796626">
              <w:rPr>
                <w:rFonts w:ascii="Times New Roman" w:hAnsi="Times New Roman"/>
                <w:i/>
                <w:sz w:val="20"/>
                <w:szCs w:val="20"/>
              </w:rPr>
              <w:t>rstoma</w:t>
            </w:r>
            <w:r w:rsidR="002B2844" w:rsidRPr="009A211B">
              <w:rPr>
                <w:rFonts w:ascii="Times New Roman" w:hAnsi="Times New Roman"/>
                <w:i/>
                <w:sz w:val="20"/>
                <w:szCs w:val="20"/>
              </w:rPr>
              <w:t xml:space="preserve"> </w:t>
            </w:r>
            <w:r w:rsidR="00E3160E" w:rsidRPr="009A211B">
              <w:rPr>
                <w:rFonts w:ascii="Times New Roman" w:hAnsi="Times New Roman"/>
                <w:i/>
                <w:sz w:val="20"/>
                <w:szCs w:val="20"/>
              </w:rPr>
              <w:t>taip:</w:t>
            </w:r>
            <w:r w:rsidR="002B2844" w:rsidRPr="009A211B">
              <w:rPr>
                <w:rFonts w:ascii="Times New Roman" w:hAnsi="Times New Roman"/>
                <w:i/>
                <w:sz w:val="20"/>
                <w:szCs w:val="20"/>
              </w:rPr>
              <w:t xml:space="preserve"> 1</w:t>
            </w:r>
            <w:r w:rsidR="006F6749" w:rsidRPr="009A211B">
              <w:rPr>
                <w:rFonts w:ascii="Times New Roman" w:hAnsi="Times New Roman"/>
                <w:i/>
                <w:sz w:val="20"/>
                <w:szCs w:val="20"/>
              </w:rPr>
              <w:t xml:space="preserve"> </w:t>
            </w:r>
            <w:r w:rsidR="002B2844" w:rsidRPr="009A211B">
              <w:rPr>
                <w:rFonts w:ascii="Times New Roman" w:hAnsi="Times New Roman"/>
                <w:i/>
                <w:sz w:val="20"/>
                <w:szCs w:val="20"/>
              </w:rPr>
              <w:t xml:space="preserve">739,13 </w:t>
            </w:r>
            <w:proofErr w:type="spellStart"/>
            <w:r w:rsidR="002B2844" w:rsidRPr="009A211B">
              <w:rPr>
                <w:rFonts w:ascii="Times New Roman" w:hAnsi="Times New Roman"/>
                <w:i/>
                <w:sz w:val="20"/>
                <w:szCs w:val="20"/>
              </w:rPr>
              <w:t>Eur</w:t>
            </w:r>
            <w:proofErr w:type="spellEnd"/>
            <w:r w:rsidR="002B2844" w:rsidRPr="009A211B">
              <w:rPr>
                <w:rFonts w:ascii="Times New Roman" w:hAnsi="Times New Roman"/>
                <w:i/>
                <w:sz w:val="20"/>
                <w:szCs w:val="20"/>
              </w:rPr>
              <w:t xml:space="preserve"> </w:t>
            </w:r>
            <w:r w:rsidR="00BF1564" w:rsidRPr="009A211B">
              <w:rPr>
                <w:rFonts w:ascii="Times New Roman" w:hAnsi="Times New Roman"/>
                <w:i/>
                <w:sz w:val="20"/>
                <w:szCs w:val="20"/>
              </w:rPr>
              <w:t>didinama</w:t>
            </w:r>
            <w:r w:rsidR="002B2844" w:rsidRPr="009A211B">
              <w:rPr>
                <w:rFonts w:ascii="Times New Roman" w:hAnsi="Times New Roman"/>
                <w:i/>
                <w:sz w:val="20"/>
                <w:szCs w:val="20"/>
              </w:rPr>
              <w:t xml:space="preserve"> darbo užmokesčio išlaidų</w:t>
            </w:r>
            <w:r w:rsidR="00BF1564" w:rsidRPr="009A211B">
              <w:rPr>
                <w:rFonts w:ascii="Times New Roman" w:hAnsi="Times New Roman"/>
                <w:i/>
                <w:sz w:val="20"/>
                <w:szCs w:val="20"/>
              </w:rPr>
              <w:t xml:space="preserve"> kategorijos suma, 260,87 </w:t>
            </w:r>
            <w:proofErr w:type="spellStart"/>
            <w:r w:rsidR="00BF1564" w:rsidRPr="009A211B">
              <w:rPr>
                <w:rFonts w:ascii="Times New Roman" w:hAnsi="Times New Roman"/>
                <w:i/>
                <w:sz w:val="20"/>
                <w:szCs w:val="20"/>
              </w:rPr>
              <w:t>Eur</w:t>
            </w:r>
            <w:proofErr w:type="spellEnd"/>
            <w:r w:rsidR="00BF1564" w:rsidRPr="009A211B">
              <w:rPr>
                <w:rFonts w:ascii="Times New Roman" w:hAnsi="Times New Roman"/>
                <w:i/>
                <w:sz w:val="20"/>
                <w:szCs w:val="20"/>
              </w:rPr>
              <w:t xml:space="preserve"> didinama</w:t>
            </w:r>
            <w:r w:rsidR="002B2844" w:rsidRPr="009A211B">
              <w:rPr>
                <w:rFonts w:ascii="Times New Roman" w:hAnsi="Times New Roman"/>
                <w:i/>
                <w:sz w:val="20"/>
                <w:szCs w:val="20"/>
              </w:rPr>
              <w:t xml:space="preserve"> </w:t>
            </w:r>
            <w:r w:rsidR="00BF1564" w:rsidRPr="009A211B">
              <w:rPr>
                <w:rFonts w:ascii="Times New Roman" w:hAnsi="Times New Roman"/>
                <w:i/>
                <w:sz w:val="20"/>
                <w:szCs w:val="20"/>
              </w:rPr>
              <w:t>netiesioginių išlaidų suma</w:t>
            </w:r>
            <w:r w:rsidR="00251680" w:rsidRPr="009A211B">
              <w:rPr>
                <w:rFonts w:ascii="Times New Roman" w:hAnsi="Times New Roman"/>
                <w:i/>
                <w:sz w:val="20"/>
                <w:szCs w:val="20"/>
              </w:rPr>
              <w:t>;</w:t>
            </w:r>
          </w:p>
          <w:p w14:paraId="7941437C" w14:textId="42E9ADD5" w:rsidR="00D04E4A" w:rsidRPr="009A211B" w:rsidRDefault="00103617" w:rsidP="00796626">
            <w:pPr>
              <w:pStyle w:val="ListParagraph"/>
              <w:numPr>
                <w:ilvl w:val="0"/>
                <w:numId w:val="1"/>
              </w:numPr>
              <w:spacing w:after="0" w:line="240" w:lineRule="auto"/>
              <w:ind w:left="447" w:hanging="425"/>
              <w:jc w:val="both"/>
              <w:rPr>
                <w:i/>
              </w:rPr>
            </w:pPr>
            <w:r w:rsidRPr="009A211B">
              <w:rPr>
                <w:rFonts w:ascii="Times New Roman" w:hAnsi="Times New Roman"/>
                <w:i/>
                <w:sz w:val="20"/>
                <w:szCs w:val="20"/>
              </w:rPr>
              <w:t xml:space="preserve">Projekto partnerio </w:t>
            </w:r>
            <w:r w:rsidR="006009CC" w:rsidRPr="009A211B">
              <w:rPr>
                <w:rFonts w:ascii="Times New Roman" w:hAnsi="Times New Roman"/>
                <w:i/>
                <w:sz w:val="20"/>
                <w:szCs w:val="20"/>
              </w:rPr>
              <w:t xml:space="preserve">netiesioginėms išlaidoms apskaičiuoti taikoma FDN – 10 proc. visų tiesioginių tinkamų finansuoti išlaidų, išskyrus tiesiogines išlaidas, skirtas subrangai, ir trečiųjų šalių suteiktų išteklių, kurie nėra naudojami projekto vykdytojo ar projekto partnerio patalpose (pasirinktas būdas, numatytas Reglamentų 8.5 straipsnio 1(b) dalyje); prekių ir paslaugų išlaidų kategorijoje yra 2 000 </w:t>
            </w:r>
            <w:proofErr w:type="spellStart"/>
            <w:r w:rsidR="006009CC" w:rsidRPr="009A211B">
              <w:rPr>
                <w:rFonts w:ascii="Times New Roman" w:hAnsi="Times New Roman"/>
                <w:i/>
                <w:sz w:val="20"/>
                <w:szCs w:val="20"/>
              </w:rPr>
              <w:t>Eur</w:t>
            </w:r>
            <w:proofErr w:type="spellEnd"/>
            <w:r w:rsidR="006009CC" w:rsidRPr="009A211B">
              <w:rPr>
                <w:rFonts w:ascii="Times New Roman" w:hAnsi="Times New Roman"/>
                <w:i/>
                <w:sz w:val="20"/>
                <w:szCs w:val="20"/>
              </w:rPr>
              <w:t xml:space="preserve"> pagrįstas trūkumas, o komandiruočių išlaidų kategorijoje yra sutaupymas; kadangi mažėjant komandiruočių išlaidų sumai, turėtų mažėti </w:t>
            </w:r>
            <w:r w:rsidR="00BF1564" w:rsidRPr="009A211B">
              <w:rPr>
                <w:rFonts w:ascii="Times New Roman" w:hAnsi="Times New Roman"/>
                <w:i/>
                <w:sz w:val="20"/>
                <w:szCs w:val="20"/>
              </w:rPr>
              <w:t>ir netiesioginių išlaidų suma, į</w:t>
            </w:r>
            <w:r w:rsidR="006009CC" w:rsidRPr="009A211B">
              <w:rPr>
                <w:rFonts w:ascii="Times New Roman" w:hAnsi="Times New Roman"/>
                <w:i/>
                <w:sz w:val="20"/>
                <w:szCs w:val="20"/>
              </w:rPr>
              <w:t xml:space="preserve"> prekių i</w:t>
            </w:r>
            <w:r w:rsidR="00796626">
              <w:rPr>
                <w:rFonts w:ascii="Times New Roman" w:hAnsi="Times New Roman"/>
                <w:i/>
                <w:sz w:val="20"/>
                <w:szCs w:val="20"/>
              </w:rPr>
              <w:t>r paslaugų kategoriją perkeliama</w:t>
            </w:r>
            <w:r w:rsidR="006009CC" w:rsidRPr="009A211B">
              <w:rPr>
                <w:rFonts w:ascii="Times New Roman" w:hAnsi="Times New Roman"/>
                <w:i/>
                <w:sz w:val="20"/>
                <w:szCs w:val="20"/>
              </w:rPr>
              <w:t xml:space="preserve"> 2 000 </w:t>
            </w:r>
            <w:proofErr w:type="spellStart"/>
            <w:r w:rsidR="006009CC" w:rsidRPr="009A211B">
              <w:rPr>
                <w:rFonts w:ascii="Times New Roman" w:hAnsi="Times New Roman"/>
                <w:i/>
                <w:sz w:val="20"/>
                <w:szCs w:val="20"/>
              </w:rPr>
              <w:t>Eur</w:t>
            </w:r>
            <w:proofErr w:type="spellEnd"/>
            <w:r w:rsidR="006009CC" w:rsidRPr="009A211B">
              <w:rPr>
                <w:rFonts w:ascii="Times New Roman" w:hAnsi="Times New Roman"/>
                <w:i/>
                <w:sz w:val="20"/>
                <w:szCs w:val="20"/>
              </w:rPr>
              <w:t xml:space="preserve"> </w:t>
            </w:r>
            <w:r w:rsidR="00796626">
              <w:rPr>
                <w:rFonts w:ascii="Times New Roman" w:hAnsi="Times New Roman"/>
                <w:i/>
                <w:sz w:val="20"/>
                <w:szCs w:val="20"/>
              </w:rPr>
              <w:t xml:space="preserve">suma </w:t>
            </w:r>
            <w:r w:rsidR="006009CC" w:rsidRPr="009A211B">
              <w:rPr>
                <w:rFonts w:ascii="Times New Roman" w:hAnsi="Times New Roman"/>
                <w:i/>
                <w:sz w:val="20"/>
                <w:szCs w:val="20"/>
              </w:rPr>
              <w:t>biudžete perskirstom</w:t>
            </w:r>
            <w:r w:rsidR="00796626">
              <w:rPr>
                <w:rFonts w:ascii="Times New Roman" w:hAnsi="Times New Roman"/>
                <w:i/>
                <w:sz w:val="20"/>
                <w:szCs w:val="20"/>
              </w:rPr>
              <w:t>a</w:t>
            </w:r>
            <w:r w:rsidR="006009CC" w:rsidRPr="009A211B">
              <w:rPr>
                <w:rFonts w:ascii="Times New Roman" w:hAnsi="Times New Roman"/>
                <w:i/>
                <w:sz w:val="20"/>
                <w:szCs w:val="20"/>
              </w:rPr>
              <w:t xml:space="preserve"> </w:t>
            </w:r>
            <w:r w:rsidR="00E3160E" w:rsidRPr="009A211B">
              <w:rPr>
                <w:rFonts w:ascii="Times New Roman" w:hAnsi="Times New Roman"/>
                <w:i/>
                <w:sz w:val="20"/>
                <w:szCs w:val="20"/>
              </w:rPr>
              <w:t>taip:</w:t>
            </w:r>
            <w:r w:rsidR="006009CC" w:rsidRPr="009A211B">
              <w:rPr>
                <w:rFonts w:ascii="Times New Roman" w:hAnsi="Times New Roman"/>
                <w:i/>
                <w:sz w:val="20"/>
                <w:szCs w:val="20"/>
              </w:rPr>
              <w:t xml:space="preserve"> 1 818,18 </w:t>
            </w:r>
            <w:proofErr w:type="spellStart"/>
            <w:r w:rsidR="006009CC" w:rsidRPr="009A211B">
              <w:rPr>
                <w:rFonts w:ascii="Times New Roman" w:hAnsi="Times New Roman"/>
                <w:i/>
                <w:sz w:val="20"/>
                <w:szCs w:val="20"/>
              </w:rPr>
              <w:t>Eur</w:t>
            </w:r>
            <w:proofErr w:type="spellEnd"/>
            <w:r w:rsidR="006009CC" w:rsidRPr="009A211B">
              <w:rPr>
                <w:rFonts w:ascii="Times New Roman" w:hAnsi="Times New Roman"/>
                <w:i/>
                <w:sz w:val="20"/>
                <w:szCs w:val="20"/>
              </w:rPr>
              <w:t xml:space="preserve"> </w:t>
            </w:r>
            <w:r w:rsidR="00BF1564" w:rsidRPr="009A211B">
              <w:rPr>
                <w:rFonts w:ascii="Times New Roman" w:hAnsi="Times New Roman"/>
                <w:i/>
                <w:sz w:val="20"/>
                <w:szCs w:val="20"/>
              </w:rPr>
              <w:t>mažinama</w:t>
            </w:r>
            <w:r w:rsidR="00251680" w:rsidRPr="009A211B">
              <w:rPr>
                <w:rFonts w:ascii="Times New Roman" w:hAnsi="Times New Roman"/>
                <w:i/>
                <w:sz w:val="20"/>
                <w:szCs w:val="20"/>
              </w:rPr>
              <w:t xml:space="preserve"> komandiruočių išlaidų kategorijos</w:t>
            </w:r>
            <w:r w:rsidR="00BF1564" w:rsidRPr="009A211B">
              <w:rPr>
                <w:rFonts w:ascii="Times New Roman" w:hAnsi="Times New Roman"/>
                <w:i/>
                <w:sz w:val="20"/>
                <w:szCs w:val="20"/>
              </w:rPr>
              <w:t xml:space="preserve"> suma</w:t>
            </w:r>
            <w:r w:rsidR="00251680" w:rsidRPr="009A211B">
              <w:rPr>
                <w:rFonts w:ascii="Times New Roman" w:hAnsi="Times New Roman"/>
                <w:i/>
                <w:sz w:val="20"/>
                <w:szCs w:val="20"/>
              </w:rPr>
              <w:t xml:space="preserve">, 181,82 </w:t>
            </w:r>
            <w:proofErr w:type="spellStart"/>
            <w:r w:rsidR="00251680" w:rsidRPr="009A211B">
              <w:rPr>
                <w:rFonts w:ascii="Times New Roman" w:hAnsi="Times New Roman"/>
                <w:i/>
                <w:sz w:val="20"/>
                <w:szCs w:val="20"/>
              </w:rPr>
              <w:t>Eur</w:t>
            </w:r>
            <w:proofErr w:type="spellEnd"/>
            <w:r w:rsidR="00251680" w:rsidRPr="009A211B">
              <w:rPr>
                <w:rFonts w:ascii="Times New Roman" w:hAnsi="Times New Roman"/>
                <w:i/>
                <w:sz w:val="20"/>
                <w:szCs w:val="20"/>
              </w:rPr>
              <w:t xml:space="preserve"> </w:t>
            </w:r>
            <w:r w:rsidR="00BF1564" w:rsidRPr="009A211B">
              <w:rPr>
                <w:rFonts w:ascii="Times New Roman" w:hAnsi="Times New Roman"/>
                <w:i/>
                <w:sz w:val="20"/>
                <w:szCs w:val="20"/>
              </w:rPr>
              <w:t>mažinama</w:t>
            </w:r>
            <w:r w:rsidR="00251680" w:rsidRPr="009A211B">
              <w:rPr>
                <w:rFonts w:ascii="Times New Roman" w:hAnsi="Times New Roman"/>
                <w:i/>
                <w:sz w:val="20"/>
                <w:szCs w:val="20"/>
              </w:rPr>
              <w:t xml:space="preserve"> netiesioginių išlaidų</w:t>
            </w:r>
            <w:r w:rsidR="00BF1564" w:rsidRPr="009A211B">
              <w:rPr>
                <w:rFonts w:ascii="Times New Roman" w:hAnsi="Times New Roman"/>
                <w:i/>
                <w:sz w:val="20"/>
                <w:szCs w:val="20"/>
              </w:rPr>
              <w:t xml:space="preserve"> suma</w:t>
            </w:r>
            <w:r w:rsidR="00251680" w:rsidRPr="009A211B">
              <w:rPr>
                <w:rFonts w:ascii="Times New Roman" w:hAnsi="Times New Roman"/>
                <w:i/>
                <w:sz w:val="20"/>
                <w:szCs w:val="20"/>
              </w:rPr>
              <w:t>.</w:t>
            </w:r>
          </w:p>
        </w:tc>
      </w:tr>
    </w:tbl>
    <w:p w14:paraId="021DAA8F" w14:textId="77777777" w:rsidR="002B2844" w:rsidRDefault="002B2844" w:rsidP="00E3160E">
      <w:pPr>
        <w:spacing w:after="0" w:line="240" w:lineRule="auto"/>
        <w:ind w:firstLine="720"/>
        <w:jc w:val="both"/>
        <w:rPr>
          <w:rFonts w:ascii="Times New Roman" w:hAnsi="Times New Roman"/>
          <w:sz w:val="24"/>
          <w:szCs w:val="24"/>
        </w:rPr>
      </w:pPr>
    </w:p>
    <w:p w14:paraId="334DE332" w14:textId="7FA07ED0" w:rsidR="00315450" w:rsidRDefault="006009CC" w:rsidP="00E3160E">
      <w:pPr>
        <w:spacing w:after="0" w:line="240" w:lineRule="auto"/>
        <w:ind w:firstLine="720"/>
        <w:jc w:val="both"/>
        <w:rPr>
          <w:rFonts w:ascii="Times New Roman" w:hAnsi="Times New Roman"/>
          <w:sz w:val="24"/>
          <w:szCs w:val="24"/>
        </w:rPr>
      </w:pPr>
      <w:r>
        <w:rPr>
          <w:rFonts w:ascii="Times New Roman" w:hAnsi="Times New Roman"/>
          <w:sz w:val="24"/>
          <w:szCs w:val="24"/>
        </w:rPr>
        <w:t>6</w:t>
      </w:r>
      <w:r w:rsidR="002B2844">
        <w:rPr>
          <w:rFonts w:ascii="Times New Roman" w:hAnsi="Times New Roman"/>
          <w:sz w:val="24"/>
          <w:szCs w:val="24"/>
        </w:rPr>
        <w:t xml:space="preserve">. </w:t>
      </w:r>
      <w:r w:rsidR="00E35DF6">
        <w:rPr>
          <w:rFonts w:ascii="Times New Roman" w:hAnsi="Times New Roman"/>
          <w:sz w:val="24"/>
          <w:szCs w:val="24"/>
        </w:rPr>
        <w:t>Siekdamas pagrįsti n</w:t>
      </w:r>
      <w:r w:rsidR="00315450">
        <w:rPr>
          <w:rFonts w:ascii="Times New Roman" w:hAnsi="Times New Roman"/>
          <w:sz w:val="24"/>
          <w:szCs w:val="24"/>
        </w:rPr>
        <w:t>etiesioginių išlaidų sumų perskaičiavim</w:t>
      </w:r>
      <w:r w:rsidR="00E35DF6">
        <w:rPr>
          <w:rFonts w:ascii="Times New Roman" w:hAnsi="Times New Roman"/>
          <w:sz w:val="24"/>
          <w:szCs w:val="24"/>
        </w:rPr>
        <w:t xml:space="preserve">ą, </w:t>
      </w:r>
      <w:r w:rsidR="00315450">
        <w:rPr>
          <w:rFonts w:ascii="Times New Roman" w:hAnsi="Times New Roman"/>
          <w:sz w:val="24"/>
          <w:szCs w:val="24"/>
        </w:rPr>
        <w:t xml:space="preserve">projekto vykdytojas ir (arba) partneris turi užpildyti ir </w:t>
      </w:r>
      <w:r w:rsidR="00C42C61">
        <w:rPr>
          <w:rFonts w:ascii="Times New Roman" w:hAnsi="Times New Roman"/>
          <w:sz w:val="24"/>
          <w:szCs w:val="24"/>
        </w:rPr>
        <w:t xml:space="preserve">projekto vykdytojas </w:t>
      </w:r>
      <w:r w:rsidR="00764A0F">
        <w:rPr>
          <w:rFonts w:ascii="Times New Roman" w:hAnsi="Times New Roman"/>
          <w:sz w:val="24"/>
          <w:szCs w:val="24"/>
        </w:rPr>
        <w:t xml:space="preserve">kartu su prašymu pakeisti netiesioginių išlaidų sumą </w:t>
      </w:r>
      <w:r w:rsidR="00C42C61">
        <w:rPr>
          <w:rFonts w:ascii="Times New Roman" w:hAnsi="Times New Roman"/>
          <w:sz w:val="24"/>
          <w:szCs w:val="24"/>
        </w:rPr>
        <w:t xml:space="preserve">turi </w:t>
      </w:r>
      <w:r w:rsidR="00315450">
        <w:rPr>
          <w:rFonts w:ascii="Times New Roman" w:hAnsi="Times New Roman"/>
          <w:sz w:val="24"/>
          <w:szCs w:val="24"/>
        </w:rPr>
        <w:t>pateikti CPVA</w:t>
      </w:r>
      <w:r w:rsidR="00C42C61">
        <w:rPr>
          <w:rFonts w:ascii="Times New Roman" w:hAnsi="Times New Roman"/>
          <w:sz w:val="24"/>
          <w:szCs w:val="24"/>
        </w:rPr>
        <w:t xml:space="preserve"> šias pažymas</w:t>
      </w:r>
      <w:r w:rsidR="00315450">
        <w:rPr>
          <w:rFonts w:ascii="Times New Roman" w:hAnsi="Times New Roman"/>
          <w:sz w:val="24"/>
          <w:szCs w:val="24"/>
        </w:rPr>
        <w:t>:</w:t>
      </w:r>
    </w:p>
    <w:p w14:paraId="733CD4DC" w14:textId="0DC59E2A" w:rsidR="00B52611" w:rsidRDefault="00315450" w:rsidP="00E3160E">
      <w:pPr>
        <w:spacing w:after="0" w:line="240" w:lineRule="auto"/>
        <w:ind w:firstLine="720"/>
        <w:jc w:val="both"/>
        <w:rPr>
          <w:rFonts w:ascii="Times New Roman" w:hAnsi="Times New Roman"/>
          <w:sz w:val="24"/>
          <w:szCs w:val="24"/>
        </w:rPr>
      </w:pPr>
      <w:r>
        <w:rPr>
          <w:rFonts w:ascii="Times New Roman" w:hAnsi="Times New Roman"/>
          <w:sz w:val="24"/>
          <w:szCs w:val="24"/>
        </w:rPr>
        <w:t>6.1. k</w:t>
      </w:r>
      <w:r w:rsidR="00B52611">
        <w:rPr>
          <w:rFonts w:ascii="Times New Roman" w:hAnsi="Times New Roman"/>
          <w:sz w:val="24"/>
          <w:szCs w:val="24"/>
        </w:rPr>
        <w:t xml:space="preserve">ai netiesioginės išlaidos nustatomos </w:t>
      </w:r>
      <w:r w:rsidR="00E35DF6">
        <w:rPr>
          <w:rFonts w:ascii="Times New Roman" w:hAnsi="Times New Roman"/>
          <w:sz w:val="24"/>
          <w:szCs w:val="24"/>
        </w:rPr>
        <w:t xml:space="preserve">Metodikos </w:t>
      </w:r>
      <w:r w:rsidR="00B52611">
        <w:rPr>
          <w:rFonts w:ascii="Times New Roman" w:hAnsi="Times New Roman"/>
          <w:sz w:val="24"/>
          <w:szCs w:val="24"/>
        </w:rPr>
        <w:t>1.1</w:t>
      </w:r>
      <w:r>
        <w:rPr>
          <w:rFonts w:ascii="Times New Roman" w:hAnsi="Times New Roman"/>
          <w:sz w:val="24"/>
          <w:szCs w:val="24"/>
        </w:rPr>
        <w:t xml:space="preserve"> punkte nu</w:t>
      </w:r>
      <w:r w:rsidR="00B33D72">
        <w:rPr>
          <w:rFonts w:ascii="Times New Roman" w:hAnsi="Times New Roman"/>
          <w:sz w:val="24"/>
          <w:szCs w:val="24"/>
        </w:rPr>
        <w:t>matytu</w:t>
      </w:r>
      <w:r>
        <w:rPr>
          <w:rFonts w:ascii="Times New Roman" w:hAnsi="Times New Roman"/>
          <w:sz w:val="24"/>
          <w:szCs w:val="24"/>
        </w:rPr>
        <w:t xml:space="preserve"> būdu - </w:t>
      </w:r>
      <w:r w:rsidRPr="00B52611">
        <w:rPr>
          <w:rFonts w:ascii="Times New Roman" w:hAnsi="Times New Roman"/>
          <w:sz w:val="24"/>
          <w:szCs w:val="24"/>
        </w:rPr>
        <w:t>Netiesioginių išlaidų, kai joms apskaičiuoti taikoma fiksuotojo dydžio norma iki 25% nuo tinkamų finansuoti išlaidų, išskyrus subrangos išlaidas (Reglamento 8.5 s</w:t>
      </w:r>
      <w:r>
        <w:rPr>
          <w:rFonts w:ascii="Times New Roman" w:hAnsi="Times New Roman"/>
          <w:sz w:val="24"/>
          <w:szCs w:val="24"/>
        </w:rPr>
        <w:t>tr. 1(b)), perskaičiavimo pažymą (Metodikos 1 priedas);</w:t>
      </w:r>
    </w:p>
    <w:p w14:paraId="13B2C901" w14:textId="5F7694EF" w:rsidR="00315450" w:rsidRDefault="00315450" w:rsidP="00E3160E">
      <w:pPr>
        <w:spacing w:after="0" w:line="240" w:lineRule="auto"/>
        <w:ind w:firstLine="720"/>
        <w:jc w:val="both"/>
        <w:rPr>
          <w:rFonts w:ascii="Times New Roman" w:hAnsi="Times New Roman"/>
          <w:sz w:val="24"/>
          <w:szCs w:val="24"/>
        </w:rPr>
      </w:pPr>
      <w:r>
        <w:rPr>
          <w:rFonts w:ascii="Times New Roman" w:hAnsi="Times New Roman"/>
          <w:sz w:val="24"/>
          <w:szCs w:val="24"/>
        </w:rPr>
        <w:t xml:space="preserve">6.2. kai netiesioginės išlaidos nustatomos </w:t>
      </w:r>
      <w:r w:rsidR="00017375">
        <w:rPr>
          <w:rFonts w:ascii="Times New Roman" w:hAnsi="Times New Roman"/>
          <w:sz w:val="24"/>
          <w:szCs w:val="24"/>
        </w:rPr>
        <w:t xml:space="preserve">Metodikos </w:t>
      </w:r>
      <w:r>
        <w:rPr>
          <w:rFonts w:ascii="Times New Roman" w:hAnsi="Times New Roman"/>
          <w:sz w:val="24"/>
          <w:szCs w:val="24"/>
        </w:rPr>
        <w:t>1.2 punkte nu</w:t>
      </w:r>
      <w:r w:rsidR="00B33D72">
        <w:rPr>
          <w:rFonts w:ascii="Times New Roman" w:hAnsi="Times New Roman"/>
          <w:sz w:val="24"/>
          <w:szCs w:val="24"/>
        </w:rPr>
        <w:t>matytu</w:t>
      </w:r>
      <w:r>
        <w:rPr>
          <w:rFonts w:ascii="Times New Roman" w:hAnsi="Times New Roman"/>
          <w:sz w:val="24"/>
          <w:szCs w:val="24"/>
        </w:rPr>
        <w:t xml:space="preserve"> būdu - </w:t>
      </w:r>
      <w:r w:rsidRPr="00B52611">
        <w:rPr>
          <w:rFonts w:ascii="Times New Roman" w:hAnsi="Times New Roman"/>
          <w:sz w:val="24"/>
          <w:szCs w:val="24"/>
        </w:rPr>
        <w:t xml:space="preserve">Netiesioginių išlaidų, kai joms apskaičiuoti taikoma fiksuotojo dydžio norma iki 15% nuo </w:t>
      </w:r>
      <w:r w:rsidRPr="00B52611">
        <w:rPr>
          <w:rFonts w:ascii="Times New Roman" w:hAnsi="Times New Roman"/>
          <w:sz w:val="24"/>
          <w:szCs w:val="24"/>
        </w:rPr>
        <w:lastRenderedPageBreak/>
        <w:t>darbo užmokesčio išlaidų (Reglamento 8.5 s</w:t>
      </w:r>
      <w:r>
        <w:rPr>
          <w:rFonts w:ascii="Times New Roman" w:hAnsi="Times New Roman"/>
          <w:sz w:val="24"/>
          <w:szCs w:val="24"/>
        </w:rPr>
        <w:t>tr. 1(c)), perskaičiavimo pažymą (Metodikos 2 priedas).</w:t>
      </w:r>
    </w:p>
    <w:p w14:paraId="6EA2ADD8" w14:textId="61A18649" w:rsidR="003C0B38" w:rsidRDefault="00315450" w:rsidP="00315450">
      <w:pPr>
        <w:spacing w:after="0" w:line="240" w:lineRule="auto"/>
        <w:ind w:firstLine="720"/>
        <w:jc w:val="both"/>
        <w:rPr>
          <w:rFonts w:ascii="Times New Roman" w:hAnsi="Times New Roman"/>
          <w:sz w:val="24"/>
          <w:szCs w:val="24"/>
        </w:rPr>
      </w:pPr>
      <w:r>
        <w:rPr>
          <w:rFonts w:ascii="Times New Roman" w:hAnsi="Times New Roman"/>
          <w:sz w:val="24"/>
          <w:szCs w:val="24"/>
        </w:rPr>
        <w:t xml:space="preserve">7. </w:t>
      </w:r>
      <w:r w:rsidR="002B2844">
        <w:rPr>
          <w:rFonts w:ascii="Times New Roman" w:hAnsi="Times New Roman"/>
          <w:sz w:val="24"/>
          <w:szCs w:val="24"/>
        </w:rPr>
        <w:t>Netiesioginių išlaidų suma, kai keičiasi tiesioginių išlaidų, kurios yra pagrindas netiesioginių išlaidų apskaičiavimui taikant FDN</w:t>
      </w:r>
      <w:r w:rsidR="00BF1564">
        <w:rPr>
          <w:rFonts w:ascii="Times New Roman" w:hAnsi="Times New Roman"/>
          <w:sz w:val="24"/>
          <w:szCs w:val="24"/>
        </w:rPr>
        <w:t>, suma</w:t>
      </w:r>
      <w:r w:rsidR="002B2844">
        <w:rPr>
          <w:rFonts w:ascii="Times New Roman" w:hAnsi="Times New Roman"/>
          <w:sz w:val="24"/>
          <w:szCs w:val="24"/>
        </w:rPr>
        <w:t xml:space="preserve"> projekto biudžete, </w:t>
      </w:r>
      <w:r w:rsidR="00A253EB">
        <w:rPr>
          <w:rFonts w:ascii="Times New Roman" w:hAnsi="Times New Roman"/>
          <w:sz w:val="24"/>
          <w:szCs w:val="24"/>
        </w:rPr>
        <w:t xml:space="preserve">projekto vykdytojo prašymu </w:t>
      </w:r>
      <w:r w:rsidR="00017375">
        <w:rPr>
          <w:rFonts w:ascii="Times New Roman" w:hAnsi="Times New Roman"/>
          <w:sz w:val="24"/>
          <w:szCs w:val="24"/>
        </w:rPr>
        <w:t xml:space="preserve">ir </w:t>
      </w:r>
      <w:r w:rsidR="00A253EB">
        <w:rPr>
          <w:rFonts w:ascii="Times New Roman" w:hAnsi="Times New Roman"/>
          <w:sz w:val="24"/>
          <w:szCs w:val="24"/>
        </w:rPr>
        <w:t xml:space="preserve">CPVA pritarus </w:t>
      </w:r>
      <w:r w:rsidR="002B2844">
        <w:rPr>
          <w:rFonts w:ascii="Times New Roman" w:hAnsi="Times New Roman"/>
          <w:sz w:val="24"/>
          <w:szCs w:val="24"/>
        </w:rPr>
        <w:t>gali būti nekeičiama.</w:t>
      </w:r>
      <w:r>
        <w:rPr>
          <w:rFonts w:ascii="Times New Roman" w:hAnsi="Times New Roman"/>
          <w:sz w:val="24"/>
          <w:szCs w:val="24"/>
        </w:rPr>
        <w:t xml:space="preserve"> Tokiu atveju:</w:t>
      </w:r>
    </w:p>
    <w:p w14:paraId="71F43592" w14:textId="240E9BBA" w:rsidR="005B13ED" w:rsidRDefault="00BF1564" w:rsidP="00E3160E">
      <w:pPr>
        <w:spacing w:after="0" w:line="240" w:lineRule="auto"/>
        <w:ind w:firstLine="720"/>
        <w:jc w:val="both"/>
        <w:rPr>
          <w:rFonts w:ascii="Times New Roman" w:hAnsi="Times New Roman"/>
          <w:sz w:val="24"/>
          <w:szCs w:val="24"/>
        </w:rPr>
      </w:pPr>
      <w:r>
        <w:rPr>
          <w:rFonts w:ascii="Times New Roman" w:hAnsi="Times New Roman"/>
          <w:sz w:val="24"/>
          <w:szCs w:val="24"/>
        </w:rPr>
        <w:t>7</w:t>
      </w:r>
      <w:r w:rsidR="005B13ED">
        <w:rPr>
          <w:rFonts w:ascii="Times New Roman" w:hAnsi="Times New Roman"/>
          <w:sz w:val="24"/>
          <w:szCs w:val="24"/>
        </w:rPr>
        <w:t xml:space="preserve">.1. </w:t>
      </w:r>
      <w:r w:rsidR="00017375">
        <w:rPr>
          <w:rFonts w:ascii="Times New Roman" w:hAnsi="Times New Roman"/>
          <w:sz w:val="24"/>
          <w:szCs w:val="24"/>
        </w:rPr>
        <w:t xml:space="preserve">jei </w:t>
      </w:r>
      <w:r w:rsidR="005B13ED">
        <w:rPr>
          <w:rFonts w:ascii="Times New Roman" w:hAnsi="Times New Roman"/>
          <w:sz w:val="24"/>
          <w:szCs w:val="24"/>
        </w:rPr>
        <w:t>tiesioginių išlaidų</w:t>
      </w:r>
      <w:r w:rsidR="00B160D6">
        <w:rPr>
          <w:rFonts w:ascii="Times New Roman" w:hAnsi="Times New Roman"/>
          <w:sz w:val="24"/>
          <w:szCs w:val="24"/>
        </w:rPr>
        <w:t>, kurios yra pagrindas netiesioginių išlaidų apskaičiavimui taikant FDN, suma projekto biudžete padidėja, bendra išmokėta</w:t>
      </w:r>
      <w:r w:rsidR="009747BC">
        <w:rPr>
          <w:rFonts w:ascii="Times New Roman" w:hAnsi="Times New Roman"/>
          <w:sz w:val="24"/>
          <w:szCs w:val="24"/>
        </w:rPr>
        <w:t xml:space="preserve"> </w:t>
      </w:r>
      <w:r w:rsidR="00B160D6">
        <w:rPr>
          <w:rFonts w:ascii="Times New Roman" w:hAnsi="Times New Roman"/>
          <w:sz w:val="24"/>
          <w:szCs w:val="24"/>
        </w:rPr>
        <w:t>netiesioginių išlaidų suma negali būti didesnė nei projekto įgyvendinimo sutartyje nustatyta didžiausia galima išmokėti netiesioginių išlaidų suma;</w:t>
      </w:r>
    </w:p>
    <w:p w14:paraId="40B816DA" w14:textId="0DD0EF77" w:rsidR="00B160D6" w:rsidRDefault="00BF1564" w:rsidP="00E3160E">
      <w:pPr>
        <w:spacing w:after="0" w:line="240" w:lineRule="auto"/>
        <w:ind w:firstLine="720"/>
        <w:jc w:val="both"/>
        <w:rPr>
          <w:rFonts w:ascii="Times New Roman" w:hAnsi="Times New Roman"/>
          <w:sz w:val="24"/>
          <w:szCs w:val="24"/>
        </w:rPr>
      </w:pPr>
      <w:r>
        <w:rPr>
          <w:rFonts w:ascii="Times New Roman" w:hAnsi="Times New Roman"/>
          <w:sz w:val="24"/>
          <w:szCs w:val="24"/>
        </w:rPr>
        <w:t>7</w:t>
      </w:r>
      <w:r w:rsidR="00B160D6">
        <w:rPr>
          <w:rFonts w:ascii="Times New Roman" w:hAnsi="Times New Roman"/>
          <w:sz w:val="24"/>
          <w:szCs w:val="24"/>
        </w:rPr>
        <w:t xml:space="preserve">.2. </w:t>
      </w:r>
      <w:r w:rsidR="00017375">
        <w:rPr>
          <w:rFonts w:ascii="Times New Roman" w:hAnsi="Times New Roman"/>
          <w:sz w:val="24"/>
          <w:szCs w:val="24"/>
        </w:rPr>
        <w:t xml:space="preserve">jei </w:t>
      </w:r>
      <w:r w:rsidR="009747BC">
        <w:rPr>
          <w:rFonts w:ascii="Times New Roman" w:hAnsi="Times New Roman"/>
          <w:sz w:val="24"/>
          <w:szCs w:val="24"/>
        </w:rPr>
        <w:t>tiesioginių išlaidų, kurios yra pagrindas netiesioginių išlaidų apskaičiavimui taikant FDN, suma projekto biudžete sumažėja, bendra išmokėta projekto netiesioginių išlaidų suma negali būti didesnė nei suma, apskaičiuota tinkamas finansuoti tiesiogines išlaidas, kurios yra pagrindas netiesioginių išlaidų apskaičiavimui taikant FDN, padauginus iš taikomos FDN.</w:t>
      </w:r>
    </w:p>
    <w:p w14:paraId="3EA47B44" w14:textId="0CA99822" w:rsidR="00796626" w:rsidRDefault="00796626" w:rsidP="00E3160E">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8. </w:t>
      </w:r>
      <w:r w:rsidR="00CA693C">
        <w:rPr>
          <w:rFonts w:ascii="Times New Roman" w:hAnsi="Times New Roman"/>
          <w:sz w:val="24"/>
          <w:szCs w:val="24"/>
        </w:rPr>
        <w:t>Jei projekto vykdytojas pateikia prašymą nekeisti netiesioginių išlaidų sumos bei nurodo, kad</w:t>
      </w:r>
      <w:r w:rsidR="00764A0F">
        <w:rPr>
          <w:rFonts w:ascii="Times New Roman" w:hAnsi="Times New Roman"/>
          <w:sz w:val="24"/>
          <w:szCs w:val="24"/>
        </w:rPr>
        <w:t>,</w:t>
      </w:r>
      <w:r w:rsidR="00CA693C">
        <w:rPr>
          <w:rFonts w:ascii="Times New Roman" w:hAnsi="Times New Roman"/>
          <w:sz w:val="24"/>
          <w:szCs w:val="24"/>
        </w:rPr>
        <w:t xml:space="preserve"> atliekant vėlesnius projekto biudžeto </w:t>
      </w:r>
      <w:proofErr w:type="spellStart"/>
      <w:r w:rsidR="00CA693C">
        <w:rPr>
          <w:rFonts w:ascii="Times New Roman" w:hAnsi="Times New Roman"/>
          <w:sz w:val="24"/>
          <w:szCs w:val="24"/>
        </w:rPr>
        <w:t>keitimus</w:t>
      </w:r>
      <w:proofErr w:type="spellEnd"/>
      <w:r w:rsidR="00764A0F">
        <w:rPr>
          <w:rFonts w:ascii="Times New Roman" w:hAnsi="Times New Roman"/>
          <w:sz w:val="24"/>
          <w:szCs w:val="24"/>
        </w:rPr>
        <w:t>,</w:t>
      </w:r>
      <w:r w:rsidR="00CA693C">
        <w:rPr>
          <w:rFonts w:ascii="Times New Roman" w:hAnsi="Times New Roman"/>
          <w:sz w:val="24"/>
          <w:szCs w:val="24"/>
        </w:rPr>
        <w:t xml:space="preserve"> netiesioginių išlaidų sumos taip pat nenorės keisti, ir CPVA tam pritaria, atliekant kiekvieną vėlesnį projekto biudžeto keitimą prašymai nekeisti netiesioginių išlaidų sumos, kaip numatyta </w:t>
      </w:r>
      <w:r w:rsidR="00764A0F">
        <w:rPr>
          <w:rFonts w:ascii="Times New Roman" w:hAnsi="Times New Roman"/>
          <w:sz w:val="24"/>
          <w:szCs w:val="24"/>
        </w:rPr>
        <w:t xml:space="preserve">Metodikos </w:t>
      </w:r>
      <w:r w:rsidR="00CA693C">
        <w:rPr>
          <w:rFonts w:ascii="Times New Roman" w:hAnsi="Times New Roman"/>
          <w:sz w:val="24"/>
          <w:szCs w:val="24"/>
        </w:rPr>
        <w:t xml:space="preserve">7 punkte, </w:t>
      </w:r>
      <w:r w:rsidR="00764A0F">
        <w:rPr>
          <w:rFonts w:ascii="Times New Roman" w:hAnsi="Times New Roman"/>
          <w:sz w:val="24"/>
          <w:szCs w:val="24"/>
        </w:rPr>
        <w:t xml:space="preserve">CPVA </w:t>
      </w:r>
      <w:r w:rsidR="00CA693C">
        <w:rPr>
          <w:rFonts w:ascii="Times New Roman" w:hAnsi="Times New Roman"/>
          <w:sz w:val="24"/>
          <w:szCs w:val="24"/>
        </w:rPr>
        <w:t>gali būti neteikiami.</w:t>
      </w:r>
    </w:p>
    <w:p w14:paraId="5701652C" w14:textId="222F81EF" w:rsidR="00C41533" w:rsidRDefault="00C41533" w:rsidP="00E3160E">
      <w:pPr>
        <w:spacing w:after="0" w:line="240" w:lineRule="auto"/>
        <w:ind w:firstLine="720"/>
        <w:jc w:val="both"/>
      </w:pPr>
    </w:p>
    <w:p w14:paraId="5E2620FB" w14:textId="42FA5376" w:rsidR="00DA5671" w:rsidRDefault="00DA5671" w:rsidP="00B52611">
      <w:pPr>
        <w:pStyle w:val="ListParagraph"/>
        <w:tabs>
          <w:tab w:val="left" w:pos="1418"/>
        </w:tabs>
        <w:spacing w:line="240" w:lineRule="auto"/>
        <w:ind w:left="0" w:firstLine="851"/>
        <w:jc w:val="both"/>
        <w:rPr>
          <w:rFonts w:ascii="Times New Roman" w:hAnsi="Times New Roman"/>
          <w:sz w:val="24"/>
          <w:szCs w:val="24"/>
        </w:rPr>
      </w:pPr>
      <w:r>
        <w:rPr>
          <w:rFonts w:ascii="Times New Roman" w:hAnsi="Times New Roman"/>
          <w:sz w:val="24"/>
          <w:szCs w:val="24"/>
        </w:rPr>
        <w:t>PRIEDAI:</w:t>
      </w:r>
    </w:p>
    <w:p w14:paraId="261CC8E2" w14:textId="63B43D9B" w:rsidR="00B52611" w:rsidRDefault="00B52611" w:rsidP="00B52611">
      <w:pPr>
        <w:pStyle w:val="ListParagraph"/>
        <w:numPr>
          <w:ilvl w:val="0"/>
          <w:numId w:val="4"/>
        </w:numPr>
        <w:tabs>
          <w:tab w:val="left" w:pos="1418"/>
        </w:tabs>
        <w:spacing w:line="240" w:lineRule="auto"/>
        <w:jc w:val="both"/>
        <w:rPr>
          <w:rFonts w:ascii="Times New Roman" w:hAnsi="Times New Roman"/>
          <w:sz w:val="24"/>
          <w:szCs w:val="24"/>
        </w:rPr>
      </w:pPr>
      <w:r w:rsidRPr="00B52611">
        <w:rPr>
          <w:rFonts w:ascii="Times New Roman" w:hAnsi="Times New Roman"/>
          <w:sz w:val="24"/>
          <w:szCs w:val="24"/>
        </w:rPr>
        <w:t>Netiesioginių išlaidų, kai joms apskaičiuoti taikoma fiksuotojo dydžio norma iki 25% nuo tinkamų finansuoti išlaidų, išskyrus subrangos išlaidas (Reglamento 8.5 str. 1(b)), perskaičiavimo pažyma</w:t>
      </w:r>
      <w:r w:rsidR="00315450">
        <w:rPr>
          <w:rFonts w:ascii="Times New Roman" w:hAnsi="Times New Roman"/>
          <w:sz w:val="24"/>
          <w:szCs w:val="24"/>
        </w:rPr>
        <w:t>.</w:t>
      </w:r>
    </w:p>
    <w:p w14:paraId="1860A452" w14:textId="26E1EA92" w:rsidR="00B52611" w:rsidRPr="00B52611" w:rsidRDefault="00B52611" w:rsidP="00B52611">
      <w:pPr>
        <w:pStyle w:val="ListParagraph"/>
        <w:numPr>
          <w:ilvl w:val="0"/>
          <w:numId w:val="4"/>
        </w:numPr>
        <w:tabs>
          <w:tab w:val="left" w:pos="1418"/>
        </w:tabs>
        <w:spacing w:line="240" w:lineRule="auto"/>
        <w:jc w:val="both"/>
        <w:rPr>
          <w:rFonts w:ascii="Times New Roman" w:hAnsi="Times New Roman"/>
          <w:sz w:val="24"/>
          <w:szCs w:val="24"/>
        </w:rPr>
      </w:pPr>
      <w:r w:rsidRPr="00B52611">
        <w:rPr>
          <w:rFonts w:ascii="Times New Roman" w:hAnsi="Times New Roman"/>
          <w:sz w:val="24"/>
          <w:szCs w:val="24"/>
        </w:rPr>
        <w:t>Netiesioginių išlaidų, kai joms apskaičiuoti taikoma fiksuotojo dydžio norma iki 15% nuo darbo užmokesčio išlaidų (Reglamento 8.5 str. 1(c)), perskaičiavimo pažyma</w:t>
      </w:r>
      <w:r w:rsidR="00315450">
        <w:rPr>
          <w:rFonts w:ascii="Times New Roman" w:hAnsi="Times New Roman"/>
          <w:sz w:val="24"/>
          <w:szCs w:val="24"/>
        </w:rPr>
        <w:t>.</w:t>
      </w:r>
    </w:p>
    <w:p w14:paraId="13986F51" w14:textId="6B3FB089" w:rsidR="006F6749" w:rsidRDefault="006F6749" w:rsidP="00DA5671">
      <w:pPr>
        <w:spacing w:after="0" w:line="240" w:lineRule="auto"/>
        <w:ind w:firstLine="720"/>
        <w:jc w:val="both"/>
      </w:pPr>
    </w:p>
    <w:sectPr w:rsidR="006F6749" w:rsidSect="00E3160E">
      <w:footerReference w:type="default" r:id="rId10"/>
      <w:pgSz w:w="12240" w:h="15840"/>
      <w:pgMar w:top="85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B7DD6" w14:textId="77777777" w:rsidR="00750066" w:rsidRDefault="00750066" w:rsidP="00750066">
      <w:pPr>
        <w:spacing w:after="0" w:line="240" w:lineRule="auto"/>
      </w:pPr>
      <w:r>
        <w:separator/>
      </w:r>
    </w:p>
  </w:endnote>
  <w:endnote w:type="continuationSeparator" w:id="0">
    <w:p w14:paraId="3163D67A" w14:textId="77777777" w:rsidR="00750066" w:rsidRDefault="00750066" w:rsidP="00750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4628"/>
      <w:docPartObj>
        <w:docPartGallery w:val="Page Numbers (Bottom of Page)"/>
        <w:docPartUnique/>
      </w:docPartObj>
    </w:sdtPr>
    <w:sdtEndPr>
      <w:rPr>
        <w:noProof/>
      </w:rPr>
    </w:sdtEndPr>
    <w:sdtContent>
      <w:p w14:paraId="3B22B2D1" w14:textId="19F64E1F" w:rsidR="00A253EB" w:rsidRDefault="00A253EB">
        <w:pPr>
          <w:pStyle w:val="Footer"/>
          <w:jc w:val="center"/>
        </w:pPr>
        <w:r>
          <w:fldChar w:fldCharType="begin"/>
        </w:r>
        <w:r>
          <w:instrText xml:space="preserve"> PAGE   \* MERGEFORMAT </w:instrText>
        </w:r>
        <w:r>
          <w:fldChar w:fldCharType="separate"/>
        </w:r>
        <w:r w:rsidR="003E2D4B">
          <w:rPr>
            <w:noProof/>
          </w:rPr>
          <w:t>1</w:t>
        </w:r>
        <w:r>
          <w:rPr>
            <w:noProof/>
          </w:rPr>
          <w:fldChar w:fldCharType="end"/>
        </w:r>
      </w:p>
    </w:sdtContent>
  </w:sdt>
  <w:p w14:paraId="3D32D0E5" w14:textId="77777777" w:rsidR="00A253EB" w:rsidRDefault="00A25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14723" w14:textId="77777777" w:rsidR="00750066" w:rsidRDefault="00750066" w:rsidP="00750066">
      <w:pPr>
        <w:spacing w:after="0" w:line="240" w:lineRule="auto"/>
      </w:pPr>
      <w:r>
        <w:separator/>
      </w:r>
    </w:p>
  </w:footnote>
  <w:footnote w:type="continuationSeparator" w:id="0">
    <w:p w14:paraId="025F915A" w14:textId="77777777" w:rsidR="00750066" w:rsidRDefault="00750066" w:rsidP="00750066">
      <w:pPr>
        <w:spacing w:after="0" w:line="240" w:lineRule="auto"/>
      </w:pPr>
      <w:r>
        <w:continuationSeparator/>
      </w:r>
    </w:p>
  </w:footnote>
  <w:footnote w:id="1">
    <w:p w14:paraId="49582B40" w14:textId="77777777" w:rsidR="0082648E" w:rsidRPr="00757D55" w:rsidRDefault="0082648E" w:rsidP="0082648E">
      <w:pPr>
        <w:pStyle w:val="FootnoteText"/>
        <w:jc w:val="both"/>
        <w:rPr>
          <w:sz w:val="18"/>
          <w:szCs w:val="18"/>
        </w:rPr>
      </w:pPr>
      <w:r w:rsidRPr="00757D55">
        <w:rPr>
          <w:rStyle w:val="FootnoteReference"/>
          <w:sz w:val="18"/>
          <w:szCs w:val="18"/>
        </w:rPr>
        <w:footnoteRef/>
      </w:r>
      <w:r w:rsidRPr="00757D55">
        <w:rPr>
          <w:sz w:val="18"/>
          <w:szCs w:val="18"/>
        </w:rPr>
        <w:t xml:space="preserve"> </w:t>
      </w:r>
      <w:r w:rsidRPr="00757D55">
        <w:rPr>
          <w:rFonts w:ascii="Times New Roman" w:hAnsi="Times New Roman"/>
          <w:sz w:val="18"/>
          <w:szCs w:val="18"/>
        </w:rPr>
        <w:t xml:space="preserve">2014–2021 m. Norvegijos finansinio mechanizmo įgyvendinimo reglamentas, patvirtintas 2016 m. rugsėjo 23 d. Norvegijos Karalystės užsienio reikalų ministerijos, ir 2014-2021 Europos ekonominės erdvės finansinio mechanizmo įgyvendinimo reglamentas, patvirtintas 2016 m. rugsėjo 8 d. Europos ekonominės erdvės finansinio mechanizmo komiteto  (toliau kartu – Reglamentai).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F4DFE"/>
    <w:multiLevelType w:val="hybridMultilevel"/>
    <w:tmpl w:val="90463F44"/>
    <w:lvl w:ilvl="0" w:tplc="4BA8D16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3BDF075B"/>
    <w:multiLevelType w:val="hybridMultilevel"/>
    <w:tmpl w:val="00483874"/>
    <w:lvl w:ilvl="0" w:tplc="3DC86FB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55ED2E2E"/>
    <w:multiLevelType w:val="hybridMultilevel"/>
    <w:tmpl w:val="1D246C2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1260293"/>
    <w:multiLevelType w:val="hybridMultilevel"/>
    <w:tmpl w:val="CD0E17B4"/>
    <w:lvl w:ilvl="0" w:tplc="BF385D0E">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66"/>
    <w:rsid w:val="00003208"/>
    <w:rsid w:val="00017375"/>
    <w:rsid w:val="00021B15"/>
    <w:rsid w:val="000E70DE"/>
    <w:rsid w:val="00103617"/>
    <w:rsid w:val="0013581B"/>
    <w:rsid w:val="001F2B2F"/>
    <w:rsid w:val="00205FDD"/>
    <w:rsid w:val="00251680"/>
    <w:rsid w:val="002B2844"/>
    <w:rsid w:val="00314A87"/>
    <w:rsid w:val="00315450"/>
    <w:rsid w:val="00327D1D"/>
    <w:rsid w:val="00357BF9"/>
    <w:rsid w:val="003B3C17"/>
    <w:rsid w:val="003C0B38"/>
    <w:rsid w:val="003E2D4B"/>
    <w:rsid w:val="003F59DD"/>
    <w:rsid w:val="0047639C"/>
    <w:rsid w:val="0048751D"/>
    <w:rsid w:val="00515913"/>
    <w:rsid w:val="005870FC"/>
    <w:rsid w:val="005B13ED"/>
    <w:rsid w:val="005D483C"/>
    <w:rsid w:val="006009CC"/>
    <w:rsid w:val="00626F19"/>
    <w:rsid w:val="0064069C"/>
    <w:rsid w:val="006F0DB2"/>
    <w:rsid w:val="006F6749"/>
    <w:rsid w:val="00750066"/>
    <w:rsid w:val="00762E4F"/>
    <w:rsid w:val="00764A0F"/>
    <w:rsid w:val="007963C6"/>
    <w:rsid w:val="00796626"/>
    <w:rsid w:val="007E0696"/>
    <w:rsid w:val="00805D6C"/>
    <w:rsid w:val="0082648E"/>
    <w:rsid w:val="008B10FD"/>
    <w:rsid w:val="008B211A"/>
    <w:rsid w:val="008B2162"/>
    <w:rsid w:val="009747BC"/>
    <w:rsid w:val="00997679"/>
    <w:rsid w:val="009A1D93"/>
    <w:rsid w:val="009A211B"/>
    <w:rsid w:val="00A253EB"/>
    <w:rsid w:val="00A701F2"/>
    <w:rsid w:val="00AA62CC"/>
    <w:rsid w:val="00AA776C"/>
    <w:rsid w:val="00B160D6"/>
    <w:rsid w:val="00B20927"/>
    <w:rsid w:val="00B33D72"/>
    <w:rsid w:val="00B52611"/>
    <w:rsid w:val="00B65571"/>
    <w:rsid w:val="00BA6C6F"/>
    <w:rsid w:val="00BF1564"/>
    <w:rsid w:val="00C13BE5"/>
    <w:rsid w:val="00C41533"/>
    <w:rsid w:val="00C42C61"/>
    <w:rsid w:val="00C613C6"/>
    <w:rsid w:val="00CA693C"/>
    <w:rsid w:val="00D04695"/>
    <w:rsid w:val="00D04E4A"/>
    <w:rsid w:val="00D42E49"/>
    <w:rsid w:val="00D7514A"/>
    <w:rsid w:val="00DA5671"/>
    <w:rsid w:val="00E3160E"/>
    <w:rsid w:val="00E32A60"/>
    <w:rsid w:val="00E35DF6"/>
    <w:rsid w:val="00E741AD"/>
    <w:rsid w:val="00F87C1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D4B8"/>
  <w15:chartTrackingRefBased/>
  <w15:docId w15:val="{E77B2D90-4DD9-4BB0-B127-20F29AB6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066"/>
    <w:pPr>
      <w:spacing w:after="200" w:line="276" w:lineRule="auto"/>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0066"/>
    <w:pPr>
      <w:ind w:left="720"/>
      <w:contextualSpacing/>
    </w:pPr>
  </w:style>
  <w:style w:type="paragraph" w:styleId="FootnoteText">
    <w:name w:val="footnote text"/>
    <w:basedOn w:val="Normal"/>
    <w:link w:val="FootnoteTextChar"/>
    <w:uiPriority w:val="99"/>
    <w:semiHidden/>
    <w:unhideWhenUsed/>
    <w:rsid w:val="007500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066"/>
    <w:rPr>
      <w:rFonts w:ascii="Calibri" w:eastAsia="Calibri" w:hAnsi="Calibri" w:cs="Times New Roman"/>
      <w:sz w:val="20"/>
      <w:szCs w:val="20"/>
      <w:lang w:val="lt-LT"/>
    </w:rPr>
  </w:style>
  <w:style w:type="character" w:styleId="FootnoteReference">
    <w:name w:val="footnote reference"/>
    <w:basedOn w:val="DefaultParagraphFont"/>
    <w:uiPriority w:val="99"/>
    <w:semiHidden/>
    <w:unhideWhenUsed/>
    <w:rsid w:val="00750066"/>
    <w:rPr>
      <w:vertAlign w:val="superscript"/>
    </w:rPr>
  </w:style>
  <w:style w:type="table" w:styleId="TableGrid">
    <w:name w:val="Table Grid"/>
    <w:basedOn w:val="TableNormal"/>
    <w:uiPriority w:val="39"/>
    <w:rsid w:val="00750066"/>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47639C"/>
    <w:pPr>
      <w:spacing w:after="0" w:line="240" w:lineRule="auto"/>
    </w:pPr>
    <w:rPr>
      <w:rFonts w:ascii="Calibri" w:eastAsia="Calibri" w:hAnsi="Calibri" w:cs="Times New Roman"/>
      <w:lang w:val="lt-LT"/>
    </w:rPr>
  </w:style>
  <w:style w:type="paragraph" w:styleId="Header">
    <w:name w:val="header"/>
    <w:basedOn w:val="Normal"/>
    <w:link w:val="HeaderChar"/>
    <w:uiPriority w:val="99"/>
    <w:unhideWhenUsed/>
    <w:rsid w:val="00A253EB"/>
    <w:pPr>
      <w:tabs>
        <w:tab w:val="center" w:pos="4986"/>
        <w:tab w:val="right" w:pos="9972"/>
      </w:tabs>
      <w:spacing w:after="0" w:line="240" w:lineRule="auto"/>
    </w:pPr>
  </w:style>
  <w:style w:type="character" w:customStyle="1" w:styleId="HeaderChar">
    <w:name w:val="Header Char"/>
    <w:basedOn w:val="DefaultParagraphFont"/>
    <w:link w:val="Header"/>
    <w:uiPriority w:val="99"/>
    <w:rsid w:val="00A253EB"/>
    <w:rPr>
      <w:rFonts w:ascii="Calibri" w:eastAsia="Calibri" w:hAnsi="Calibri" w:cs="Times New Roman"/>
      <w:lang w:val="lt-LT"/>
    </w:rPr>
  </w:style>
  <w:style w:type="paragraph" w:styleId="Footer">
    <w:name w:val="footer"/>
    <w:basedOn w:val="Normal"/>
    <w:link w:val="FooterChar"/>
    <w:uiPriority w:val="99"/>
    <w:unhideWhenUsed/>
    <w:rsid w:val="00A253EB"/>
    <w:pPr>
      <w:tabs>
        <w:tab w:val="center" w:pos="4986"/>
        <w:tab w:val="right" w:pos="9972"/>
      </w:tabs>
      <w:spacing w:after="0" w:line="240" w:lineRule="auto"/>
    </w:pPr>
  </w:style>
  <w:style w:type="character" w:customStyle="1" w:styleId="FooterChar">
    <w:name w:val="Footer Char"/>
    <w:basedOn w:val="DefaultParagraphFont"/>
    <w:link w:val="Footer"/>
    <w:uiPriority w:val="99"/>
    <w:rsid w:val="00A253EB"/>
    <w:rPr>
      <w:rFonts w:ascii="Calibri" w:eastAsia="Calibri" w:hAnsi="Calibri" w:cs="Times New Roman"/>
      <w:lang w:val="lt-LT"/>
    </w:rPr>
  </w:style>
  <w:style w:type="paragraph" w:styleId="BalloonText">
    <w:name w:val="Balloon Text"/>
    <w:basedOn w:val="Normal"/>
    <w:link w:val="BalloonTextChar"/>
    <w:uiPriority w:val="99"/>
    <w:semiHidden/>
    <w:unhideWhenUsed/>
    <w:rsid w:val="00E31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60E"/>
    <w:rPr>
      <w:rFonts w:ascii="Segoe UI" w:eastAsia="Calibri" w:hAnsi="Segoe UI" w:cs="Segoe UI"/>
      <w:sz w:val="18"/>
      <w:szCs w:val="18"/>
      <w:lang w:val="lt-LT"/>
    </w:rPr>
  </w:style>
  <w:style w:type="character" w:styleId="CommentReference">
    <w:name w:val="annotation reference"/>
    <w:basedOn w:val="DefaultParagraphFont"/>
    <w:uiPriority w:val="99"/>
    <w:semiHidden/>
    <w:unhideWhenUsed/>
    <w:rsid w:val="006F0DB2"/>
    <w:rPr>
      <w:sz w:val="16"/>
      <w:szCs w:val="16"/>
    </w:rPr>
  </w:style>
  <w:style w:type="paragraph" w:styleId="CommentText">
    <w:name w:val="annotation text"/>
    <w:basedOn w:val="Normal"/>
    <w:link w:val="CommentTextChar"/>
    <w:uiPriority w:val="99"/>
    <w:semiHidden/>
    <w:unhideWhenUsed/>
    <w:rsid w:val="006F0DB2"/>
    <w:pPr>
      <w:spacing w:line="240" w:lineRule="auto"/>
    </w:pPr>
    <w:rPr>
      <w:sz w:val="20"/>
      <w:szCs w:val="20"/>
    </w:rPr>
  </w:style>
  <w:style w:type="character" w:customStyle="1" w:styleId="CommentTextChar">
    <w:name w:val="Comment Text Char"/>
    <w:basedOn w:val="DefaultParagraphFont"/>
    <w:link w:val="CommentText"/>
    <w:uiPriority w:val="99"/>
    <w:semiHidden/>
    <w:rsid w:val="006F0DB2"/>
    <w:rPr>
      <w:rFonts w:ascii="Calibri" w:eastAsia="Calibri" w:hAnsi="Calibri"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6F0DB2"/>
    <w:rPr>
      <w:b/>
      <w:bCs/>
    </w:rPr>
  </w:style>
  <w:style w:type="character" w:customStyle="1" w:styleId="CommentSubjectChar">
    <w:name w:val="Comment Subject Char"/>
    <w:basedOn w:val="CommentTextChar"/>
    <w:link w:val="CommentSubject"/>
    <w:uiPriority w:val="99"/>
    <w:semiHidden/>
    <w:rsid w:val="006F0DB2"/>
    <w:rPr>
      <w:rFonts w:ascii="Calibri" w:eastAsia="Calibri" w:hAnsi="Calibri" w:cs="Times New Roman"/>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iedas" ma:contentTypeID="0x01010031A3634DF9DB4FFBA1EC65766E7376F5005B545E811678A14FBF9E314678F00205" ma:contentTypeVersion="1" ma:contentTypeDescription="" ma:contentTypeScope="" ma:versionID="f553b7c5e384599d404c09f645ce397b">
  <xsd:schema xmlns:xsd="http://www.w3.org/2001/XMLSchema" xmlns:xs="http://www.w3.org/2001/XMLSchema" xmlns:p="http://schemas.microsoft.com/office/2006/metadata/properties" xmlns:ns2="4b2e9d09-07c5-42d4-ad0a-92e216c40b99" xmlns:ns3="028236e2-f653-4d19-ab67-4d06a9145e0c" xmlns:ns4="a8afba3d-c7cb-4b8d-a541-b82582e28d5a" targetNamespace="http://schemas.microsoft.com/office/2006/metadata/properties" ma:root="true" ma:fieldsID="708cc8b7842aa3de5669b6ed77e9574d" ns2:_="" ns3:_="" ns4:_="">
    <xsd:import namespace="4b2e9d09-07c5-42d4-ad0a-92e216c40b99"/>
    <xsd:import namespace="028236e2-f653-4d19-ab67-4d06a9145e0c"/>
    <xsd:import namespace="a8afba3d-c7cb-4b8d-a541-b82582e28d5a"/>
    <xsd:element name="properties">
      <xsd:complexType>
        <xsd:sequence>
          <xsd:element name="documentManagement">
            <xsd:complexType>
              <xsd:all>
                <xsd:element ref="ns2:DmsRegDoc"/>
                <xsd:element ref="ns3:DmsAddMarkOnPdf" minOccurs="0"/>
                <xsd:element ref="ns4:a3786572b911401cb3d194bf7c0aa4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RegDoc" ma:index="10" ma:displayName="Pagrindinis dokumentas" ma:description="" ma:hidden="true" ma:list="Self" ma:internalName="DmsRegDoc"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AddMarkOnPdf" ma:index="11" nillable="true" ma:displayName="Registravimo žyma" ma:default="0" ma:description="" ma:internalName="DmsAddMarkOnPd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afba3d-c7cb-4b8d-a541-b82582e28d5a" elementFormDefault="qualified">
    <xsd:import namespace="http://schemas.microsoft.com/office/2006/documentManagement/types"/>
    <xsd:import namespace="http://schemas.microsoft.com/office/infopath/2007/PartnerControls"/>
    <xsd:element name="a3786572b911401cb3d194bf7c0aa4a6" ma:index="12" nillable="true" ma:displayName="DmsPermissionsDivisions_0" ma:hidden="true" ma:internalName="a3786572b911401cb3d194bf7c0aa4a6">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8" ma:displayName="Priedo pavadinima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786572b911401cb3d194bf7c0aa4a6 xmlns="a8afba3d-c7cb-4b8d-a541-b82582e28d5a">Teisės ir kokybės kontrolės skyrius|f1f7510f-e303-4b3e-a568-a8cf6cb0ac94;Finansų skyrius|7d9d544b-d496-4126-a894-fd0e68da2d8e;Europos ekonominės erdvės ir Norvegijos programų skyrius|da87a408-7969-4ddc-bd60-bd2ed3a58e9d;Kokybės užtikrinimo skyrius|253b4bc5-eb8b-4b91-befb-f97cc65a2670;Vadovybė|58a5a61f-fccb-4f74-9a6b-098be634181c</a3786572b911401cb3d194bf7c0aa4a6>
    <DmsRegDoc xmlns="4b2e9d09-07c5-42d4-ad0a-92e216c40b99">658</DmsRegDoc>
    <DmsAddMarkOnPdf xmlns="028236e2-f653-4d19-ab67-4d06a9145e0c">false</DmsAddMarkOnPdf>
  </documentManagement>
</p:properties>
</file>

<file path=customXml/itemProps1.xml><?xml version="1.0" encoding="utf-8"?>
<ds:datastoreItem xmlns:ds="http://schemas.openxmlformats.org/officeDocument/2006/customXml" ds:itemID="{937E4DE5-8698-4609-BE8E-BEA87A4D8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a8afba3d-c7cb-4b8d-a541-b82582e28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05321-7E90-43C8-BA23-61C5090139C1}">
  <ds:schemaRefs>
    <ds:schemaRef ds:uri="http://schemas.microsoft.com/sharepoint/v3/contenttype/forms"/>
  </ds:schemaRefs>
</ds:datastoreItem>
</file>

<file path=customXml/itemProps3.xml><?xml version="1.0" encoding="utf-8"?>
<ds:datastoreItem xmlns:ds="http://schemas.openxmlformats.org/officeDocument/2006/customXml" ds:itemID="{199B65AC-5E5E-4F43-9FF7-B7E248278F01}">
  <ds:schemaRefs>
    <ds:schemaRef ds:uri="http://purl.org/dc/elements/1.1/"/>
    <ds:schemaRef ds:uri="http://www.w3.org/XML/1998/namespace"/>
    <ds:schemaRef ds:uri="http://purl.org/dc/dcmitype/"/>
    <ds:schemaRef ds:uri="http://schemas.microsoft.com/office/2006/documentManagement/types"/>
    <ds:schemaRef ds:uri="4b2e9d09-07c5-42d4-ad0a-92e216c40b99"/>
    <ds:schemaRef ds:uri="http://purl.org/dc/terms/"/>
    <ds:schemaRef ds:uri="028236e2-f653-4d19-ab67-4d06a9145e0c"/>
    <ds:schemaRef ds:uri="http://schemas.microsoft.com/office/infopath/2007/PartnerControls"/>
    <ds:schemaRef ds:uri="a8afba3d-c7cb-4b8d-a541-b82582e28d5a"/>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PROJEKTO NETIESIOGINIŲ IŠLAIDŲ PERSKAIČIAVIMO METODIKA</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 NETIESIOGINIŲ IŠLAIDŲ PERSKAIČIAVIMO METODIKA</dc:title>
  <dc:subject/>
  <dc:creator>Irma Šopienė</dc:creator>
  <cp:keywords/>
  <dc:description/>
  <cp:lastModifiedBy>Irma Šopienė</cp:lastModifiedBy>
  <cp:revision>3</cp:revision>
  <cp:lastPrinted>2020-09-24T12:19:00Z</cp:lastPrinted>
  <dcterms:created xsi:type="dcterms:W3CDTF">2020-10-23T07:56:00Z</dcterms:created>
  <dcterms:modified xsi:type="dcterms:W3CDTF">2020-10-23T07:57:00Z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0x01010031A3634DF9DB4FFBA1EC65766E7376F5005B545E811678A14FBF9E314678F00205</vt:lpwstr>
  </property>
  <property fmtid="{D5CDD505-2E9C-101B-9397-08002B2CF9AE}" pid="3" name="DmsPermissionsFlags">
    <vt:lpwstr>,SECTRUE,</vt:lpwstr>
  </property>
  <property fmtid="{D5CDD505-2E9C-101B-9397-08002B2CF9AE}" pid="4" name="DmsPermissionsUsers">
    <vt:lpwstr>1073741823;#Sistemos abonementas;#768;#Erika Simaitė;#462;#Irma Šopienė;#191;#Sandra Remeikienė;#208;#Vaidas Prascienius;#66;#Daiva Grigorjeva;#788;#Erika Patupytė;#247;#Artūras Žarnovskis;#234;#Rasa Suraučienė;#230;#Giedrė Vaičeliūnienė</vt:lpwstr>
  </property>
  <property fmtid="{D5CDD505-2E9C-101B-9397-08002B2CF9AE}" pid="5" name="DmsPermissionsDivisions">
    <vt:lpwstr>3312;#Teisės ir kokybės kontrolės skyrius|f1f7510f-e303-4b3e-a568-a8cf6cb0ac94;#62;#Finansų skyrius|7d9d544b-d496-4126-a894-fd0e68da2d8e;#55;#Europos ekonominės erdvės ir Norvegijos programų skyrius|da87a408-7969-4ddc-bd60-bd2ed3a58e9d;#48;#Kokybės užtikr</vt:lpwstr>
  </property>
  <property fmtid="{D5CDD505-2E9C-101B-9397-08002B2CF9AE}" pid="6" name="TaxCatchAll">
    <vt:lpwstr>62;#Finansų skyrius|7d9d544b-d496-4126-a894-fd0e68da2d8e;#55;#Europos ekonominės erdvės ir Norvegijos programų skyrius|da87a408-7969-4ddc-bd60-bd2ed3a58e9d;#49;#Vadovybė|58a5a61f-fccb-4f74-9a6b-098be634181c;#3312;#Teisės ir kokybės kontrolės skyrius|f1f75</vt:lpwstr>
  </property>
  <property fmtid="{D5CDD505-2E9C-101B-9397-08002B2CF9AE}" pid="7" name="DmsDocPrepDocSendRegReal">
    <vt:bool>false</vt:bool>
  </property>
  <property fmtid="{D5CDD505-2E9C-101B-9397-08002B2CF9AE}" pid="8" name="DmsCPVARelatedDivisions">
    <vt:lpwstr/>
  </property>
  <property fmtid="{D5CDD505-2E9C-101B-9397-08002B2CF9AE}" pid="9" name="DmsCPVADocSubtype">
    <vt:lpwstr/>
  </property>
  <property fmtid="{D5CDD505-2E9C-101B-9397-08002B2CF9AE}" pid="10" name="DmsInternalActType">
    <vt:lpwstr/>
  </property>
  <property fmtid="{D5CDD505-2E9C-101B-9397-08002B2CF9AE}" pid="11" name="DmsCPVADocProgram">
    <vt:lpwstr/>
  </property>
  <property fmtid="{D5CDD505-2E9C-101B-9397-08002B2CF9AE}" pid="12" name="DmsVisers">
    <vt:lpwstr/>
  </property>
  <property fmtid="{D5CDD505-2E9C-101B-9397-08002B2CF9AE}" pid="13" name="DmsOrganizer">
    <vt:lpwstr/>
  </property>
  <property fmtid="{D5CDD505-2E9C-101B-9397-08002B2CF9AE}" pid="14" name="DmsCPVARelatedPersons">
    <vt:lpwstr/>
  </property>
  <property fmtid="{D5CDD505-2E9C-101B-9397-08002B2CF9AE}" pid="15" name="DmsCPVAOtherResponsiblePersons">
    <vt:lpwstr/>
  </property>
  <property fmtid="{D5CDD505-2E9C-101B-9397-08002B2CF9AE}" pid="16" name="DmsRegState">
    <vt:lpwstr>Naujas</vt:lpwstr>
  </property>
  <property fmtid="{D5CDD505-2E9C-101B-9397-08002B2CF9AE}" pid="17" name="DmsApprovers">
    <vt:lpwstr/>
  </property>
  <property fmtid="{D5CDD505-2E9C-101B-9397-08002B2CF9AE}" pid="18" name="DmsResponsiblePerson">
    <vt:lpwstr/>
  </property>
  <property fmtid="{D5CDD505-2E9C-101B-9397-08002B2CF9AE}" pid="19" name="DmsCoordinators">
    <vt:lpwstr/>
  </property>
  <property fmtid="{D5CDD505-2E9C-101B-9397-08002B2CF9AE}" pid="20" name="DmsSigners">
    <vt:lpwstr/>
  </property>
  <property fmtid="{D5CDD505-2E9C-101B-9397-08002B2CF9AE}" pid="21" name="DmsRegPerson">
    <vt:lpwstr/>
  </property>
  <property fmtid="{D5CDD505-2E9C-101B-9397-08002B2CF9AE}" pid="22" name="e60ee4271ca74d28a1640aed29de29ee">
    <vt:lpwstr/>
  </property>
  <property fmtid="{D5CDD505-2E9C-101B-9397-08002B2CF9AE}" pid="23" name="bef85333021544dbbbb8b847b70284cc">
    <vt:lpwstr/>
  </property>
  <property fmtid="{D5CDD505-2E9C-101B-9397-08002B2CF9AE}" pid="24" name="o3cb2451d6904553a72e202c291dd6d8">
    <vt:lpwstr/>
  </property>
  <property fmtid="{D5CDD505-2E9C-101B-9397-08002B2CF9AE}" pid="25" name="affec700840c476983ca41dbbdd3d7a4">
    <vt:lpwstr/>
  </property>
  <property fmtid="{D5CDD505-2E9C-101B-9397-08002B2CF9AE}" pid="26" name="b1f23dead1274c488d632b6cb8d4aba0">
    <vt:lpwstr/>
  </property>
  <property fmtid="{D5CDD505-2E9C-101B-9397-08002B2CF9AE}" pid="27" name="f13e22c1b9dc46cf9f47842e2669affe">
    <vt:lpwstr/>
  </property>
  <property fmtid="{D5CDD505-2E9C-101B-9397-08002B2CF9AE}" pid="28" name="DmsRegister">
    <vt:lpwstr>76427</vt:lpwstr>
  </property>
  <property fmtid="{D5CDD505-2E9C-101B-9397-08002B2CF9AE}" pid="29" name="DmsCase">
    <vt:lpwstr>75343</vt:lpwstr>
  </property>
</Properties>
</file>